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440001-2025-03952</w:t>
      </w:r>
    </w:p>
    <w:p>
      <w:pPr>
        <w:pStyle w:val="null3"/>
        <w:jc w:val="center"/>
        <w:outlineLvl w:val="3"/>
      </w:pPr>
      <w:r>
        <w:rPr>
          <w:sz w:val="24"/>
          <w:b/>
        </w:rPr>
        <w:t>采购项目编号：</w:t>
      </w:r>
      <w:r>
        <w:rPr>
          <w:sz w:val="24"/>
          <w:b/>
        </w:rPr>
        <w:t>ZZ22501338</w:t>
      </w:r>
    </w:p>
    <w:p>
      <w:pPr>
        <w:pStyle w:val="null3"/>
        <w:jc w:val="center"/>
        <w:outlineLvl w:val="3"/>
      </w:pPr>
      <w:r>
        <w:rPr>
          <w:sz w:val="24"/>
          <w:b/>
        </w:rPr>
        <w:t>项目名称：</w:t>
      </w:r>
      <w:r>
        <w:rPr>
          <w:sz w:val="24"/>
          <w:b/>
        </w:rPr>
        <w:t>广东省中山市中级人民法院2025年电子卷宗随案同步生成及档案管理和诉讼事务服务项目</w:t>
      </w:r>
    </w:p>
    <w:p>
      <w:pPr>
        <w:pStyle w:val="null3"/>
        <w:jc w:val="center"/>
        <w:outlineLvl w:val="3"/>
      </w:pPr>
      <w:r>
        <w:rPr>
          <w:sz w:val="24"/>
          <w:b/>
        </w:rPr>
        <w:t>采购人：</w:t>
      </w:r>
      <w:r>
        <w:rPr>
          <w:sz w:val="24"/>
          <w:b/>
        </w:rPr>
        <w:t>广东省中山市中级人民法院</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广东省中山市中级人民法院</w:t>
      </w:r>
      <w:r>
        <w:rPr/>
        <w:t>的委托，采用</w:t>
      </w:r>
      <w:r>
        <w:rPr/>
        <w:t>公开招标</w:t>
      </w:r>
      <w:r>
        <w:rPr/>
        <w:t>方式组织采购</w:t>
      </w:r>
      <w:r>
        <w:rPr/>
        <w:t>广东省中山市中级人民法院2025年电子卷宗随案同步生成及档案管理和诉讼事务服务项目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广东省中山市中级人民法院2025年电子卷宗随案同步生成及档案管理和诉讼事务服务项目</w:t>
      </w:r>
    </w:p>
    <w:p>
      <w:pPr>
        <w:pStyle w:val="null3"/>
        <w:ind w:firstLine="480"/>
      </w:pPr>
      <w:r>
        <w:rPr/>
        <w:t>采购计划编号：</w:t>
      </w:r>
      <w:r>
        <w:rPr/>
        <w:t>440001-2025-03952</w:t>
      </w:r>
    </w:p>
    <w:p>
      <w:pPr>
        <w:pStyle w:val="null3"/>
        <w:ind w:firstLine="480"/>
      </w:pPr>
      <w:r>
        <w:rPr/>
        <w:t>采购项目编号：</w:t>
      </w:r>
      <w:r>
        <w:rPr/>
        <w:t>ZZ22501338</w:t>
      </w:r>
    </w:p>
    <w:p>
      <w:pPr>
        <w:pStyle w:val="null3"/>
        <w:ind w:firstLine="480"/>
      </w:pPr>
      <w:r>
        <w:rPr/>
        <w:t>采购方式：</w:t>
      </w:r>
      <w:r>
        <w:rPr/>
        <w:t>公开招标</w:t>
      </w:r>
    </w:p>
    <w:p>
      <w:pPr>
        <w:pStyle w:val="null3"/>
        <w:ind w:firstLine="480"/>
      </w:pPr>
      <w:r>
        <w:rPr/>
        <w:t>预算金额：</w:t>
      </w:r>
      <w:r>
        <w:rPr/>
        <w:t>2,890,000.00</w:t>
      </w:r>
      <w:r>
        <w:rPr/>
        <w:t>元</w:t>
      </w:r>
    </w:p>
    <w:p>
      <w:pPr>
        <w:pStyle w:val="null3"/>
        <w:outlineLvl w:val="3"/>
      </w:pPr>
      <w:r>
        <w:rPr>
          <w:sz w:val="24"/>
          <w:b/>
        </w:rPr>
        <w:t>2.项目内容及需求情况（采购项目技术规格、参数及要求）</w:t>
      </w:r>
    </w:p>
    <w:p>
      <w:pPr>
        <w:pStyle w:val="null3"/>
      </w:pPr>
      <w:r>
        <w:rPr/>
        <w:t>采购包1(电子卷宗随案同步生成及档案管理和诉讼事务服务):</w:t>
      </w:r>
    </w:p>
    <w:p>
      <w:pPr>
        <w:pStyle w:val="null3"/>
      </w:pPr>
      <w:r>
        <w:rPr/>
        <w:t>采购包预算金额：2,890,000.00元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电子卷宗随案同步生成及档案管理和诉讼事务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合同履行期限：按招标文件要求执行。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政府采购供应商资格信用承诺函》（格式详见公告附件）或提供投标截止时间前6个月内任意1个月依法缴纳税收和社会保障资金的相关材料（如依法免税或不需要缴纳社会保障资金的，提供相应证明材料。），若投标人同时提供承诺函和证明材料的，资格审查时以证明材料为准。</w:t>
      </w:r>
    </w:p>
    <w:p>
      <w:pPr>
        <w:pStyle w:val="null3"/>
      </w:pPr>
      <w:r>
        <w:rPr/>
        <w:t>3）具有良好的商业信誉和健全的财务会计制度：供应商必须具有良好的商业信誉和健全的财务会计制度（提供《政府采购供应商资格信用承诺函》（格式详见公告附件），或提供2023年财务报告（或2024年9月至今任意一个月份财务报表）关键页或由基本开户银行出具的资信证明或政府采购专业担保机构出具的投标担保函）。若投标人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采购包1（电子卷宗随案同步生成及档案管理和诉讼事务服务）：</w:t>
      </w:r>
      <w:r>
        <w:rPr/>
        <w:t>供应商须为符合《政府采购促进中小企业发展管理办法》（财库〔2020〕46号）规定和《中小企业划型标准规定》（工信部联企业[2011]300号）的中型、小型、微型企业。（本项目采购标的对应行业：软件和信息技术服务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采购包1（电子卷宗随案同步生成及档案管理和诉讼事务服务）：</w:t>
      </w:r>
    </w:p>
    <w:p>
      <w:pPr>
        <w:pStyle w:val="null3"/>
      </w:pPr>
      <w:r>
        <w:rPr/>
        <w:t>1)供应商未被列入“信用中国”网站(www.creditchina.gov.cn)“失信被执行人或重大税收违法失信主体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3)无围标、串标行为（出具《无围标、串标行为承诺书》，格式详见采购公告附件）。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广东省中山市中级人民法院</w:t>
      </w:r>
    </w:p>
    <w:p>
      <w:pPr>
        <w:pStyle w:val="null3"/>
        <w:ind w:firstLine="480"/>
      </w:pPr>
      <w:r>
        <w:rPr/>
        <w:t xml:space="preserve"> 地址：</w:t>
      </w:r>
      <w:r>
        <w:rPr/>
        <w:t>广东省中山市东区兴中道16号</w:t>
      </w:r>
    </w:p>
    <w:p>
      <w:pPr>
        <w:pStyle w:val="null3"/>
        <w:ind w:firstLine="480"/>
      </w:pPr>
      <w:r>
        <w:rPr/>
        <w:t xml:space="preserve"> 联系方式：</w:t>
      </w:r>
      <w:r>
        <w:rPr/>
        <w:t>0760-88880648</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凌小姐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1.</w:t>
      </w:r>
      <w:r>
        <w:rPr>
          <w:sz w:val="20"/>
        </w:rPr>
        <w:t>本次项目名称为：广东省中山市中级人民法院</w:t>
      </w:r>
      <w:r>
        <w:rPr>
          <w:sz w:val="20"/>
        </w:rPr>
        <w:t>2025</w:t>
      </w:r>
      <w:r>
        <w:rPr>
          <w:sz w:val="20"/>
        </w:rPr>
        <w:t>年电子卷宗随案同步生成及档案管理和诉讼事务服务项目。</w:t>
      </w:r>
    </w:p>
    <w:p>
      <w:pPr>
        <w:pStyle w:val="null3"/>
        <w:ind w:firstLine="400"/>
      </w:pPr>
      <w:r>
        <w:rPr>
          <w:sz w:val="20"/>
        </w:rPr>
        <w:t>2.</w:t>
      </w:r>
      <w:r>
        <w:rPr>
          <w:sz w:val="20"/>
        </w:rPr>
        <w:t>本项目最高投标限价为人民币</w:t>
      </w:r>
      <w:r>
        <w:rPr>
          <w:sz w:val="20"/>
        </w:rPr>
        <w:t xml:space="preserve">289 </w:t>
      </w:r>
      <w:r>
        <w:rPr>
          <w:sz w:val="20"/>
        </w:rPr>
        <w:t>万元整。投标报价需全面涵盖项目外包服务人员的工资、福利、社会保险（含社保）、制服、通信设备、医疗费用，以及完成项目所必需的设备、办公用品和所有税费等，确保满足招标文件规定的全部费用要求。投标报价若超出招标文件规定的预算金额，则视为不符合要求，将不通过符合性审查。</w:t>
      </w:r>
    </w:p>
    <w:p>
      <w:pPr>
        <w:pStyle w:val="null3"/>
        <w:ind w:firstLine="400"/>
      </w:pPr>
      <w:r>
        <w:rPr>
          <w:sz w:val="20"/>
        </w:rPr>
        <w:t>3.</w:t>
      </w:r>
      <w:r>
        <w:rPr>
          <w:sz w:val="20"/>
        </w:rPr>
        <w:t>采购项目及范围包括：电子卷宗随案同步生成服务、档案图文数字化服务、档案管理及诉讼事务服务等。</w:t>
      </w:r>
    </w:p>
    <w:p>
      <w:pPr>
        <w:pStyle w:val="null3"/>
        <w:ind w:firstLine="400"/>
      </w:pPr>
      <w:r>
        <w:rPr>
          <w:sz w:val="20"/>
        </w:rPr>
        <w:t>4.</w:t>
      </w:r>
      <w:r>
        <w:rPr>
          <w:sz w:val="20"/>
        </w:rPr>
        <w:t>本项目由供应商全面负责，确保招标文件中对供应商所提出的所有要求和责任得到妥善履行。</w:t>
      </w:r>
    </w:p>
    <w:p>
      <w:pPr>
        <w:pStyle w:val="null3"/>
        <w:ind w:firstLine="400"/>
      </w:pPr>
      <w:r>
        <w:rPr>
          <w:sz w:val="20"/>
        </w:rPr>
        <w:t>5.</w:t>
      </w:r>
      <w:r>
        <w:rPr>
          <w:sz w:val="20"/>
        </w:rPr>
        <w:t>本项目不接受联合体投标，供应商未经采购人批准，不得再以任何方式转包或分包。</w:t>
      </w:r>
    </w:p>
    <w:p>
      <w:pPr>
        <w:pStyle w:val="null3"/>
        <w:ind w:firstLine="400"/>
      </w:pPr>
      <w:r>
        <w:rPr>
          <w:sz w:val="20"/>
        </w:rPr>
        <w:t>6.</w:t>
      </w:r>
      <w:r>
        <w:rPr>
          <w:sz w:val="20"/>
        </w:rPr>
        <w:t>打“★”号条款为实质性条款，若有任何一条负偏离或不满足则导致投标无效。</w:t>
      </w:r>
    </w:p>
    <w:p>
      <w:pPr>
        <w:pStyle w:val="null3"/>
        <w:ind w:firstLine="400"/>
      </w:pPr>
      <w:r>
        <w:rPr>
          <w:sz w:val="20"/>
        </w:rPr>
        <w:t>★</w:t>
      </w:r>
      <w:r>
        <w:rPr>
          <w:sz w:val="20"/>
        </w:rPr>
        <w:t>7.</w:t>
      </w:r>
      <w:r>
        <w:rPr>
          <w:sz w:val="20"/>
        </w:rPr>
        <w:t>供应商须具有档案行政管理部门出具的档案中介服务机构备案登记证书或档案中介服务机构备案回执，或承诺中选后取得档案行政管理部门出具的档案中介服务机构备案登记证书或档案中介服务机构备案回执。【投标文件中需附有资质证书（回执）或承诺函】</w:t>
      </w:r>
    </w:p>
    <w:p>
      <w:pPr>
        <w:pStyle w:val="null3"/>
        <w:ind w:firstLine="400"/>
      </w:pPr>
      <w:r>
        <w:rPr>
          <w:sz w:val="20"/>
        </w:rPr>
        <w:t xml:space="preserve">8. </w:t>
      </w:r>
      <w:r>
        <w:rPr>
          <w:sz w:val="20"/>
        </w:rPr>
        <w:t>演示说明</w:t>
      </w:r>
    </w:p>
    <w:p>
      <w:pPr>
        <w:pStyle w:val="null3"/>
        <w:ind w:firstLine="400"/>
      </w:pPr>
      <w:r>
        <w:rPr>
          <w:sz w:val="20"/>
        </w:rPr>
        <w:t>本项目设有现场演示环节，投标人需按招标文件详细评审</w:t>
      </w:r>
      <w:r>
        <w:rPr>
          <w:sz w:val="20"/>
        </w:rPr>
        <w:t>-</w:t>
      </w:r>
      <w:r>
        <w:rPr>
          <w:sz w:val="20"/>
        </w:rPr>
        <w:t>技术部分</w:t>
      </w:r>
      <w:r>
        <w:rPr>
          <w:sz w:val="20"/>
        </w:rPr>
        <w:t>-</w:t>
      </w:r>
      <w:r>
        <w:rPr>
          <w:sz w:val="20"/>
        </w:rPr>
        <w:t>“档案数字化加工软件、</w:t>
      </w:r>
      <w:r>
        <w:rPr>
          <w:sz w:val="20"/>
        </w:rPr>
        <w:t>RFID</w:t>
      </w:r>
      <w:r>
        <w:rPr>
          <w:sz w:val="20"/>
        </w:rPr>
        <w:t>管理软件</w:t>
      </w:r>
      <w:r>
        <w:rPr>
          <w:sz w:val="20"/>
        </w:rPr>
        <w:t>-</w:t>
      </w:r>
      <w:r>
        <w:rPr>
          <w:sz w:val="20"/>
        </w:rPr>
        <w:t>现场演示”要求的内容准备资料，演示要求如下：</w:t>
      </w:r>
    </w:p>
    <w:p>
      <w:pPr>
        <w:pStyle w:val="null3"/>
        <w:ind w:firstLine="400"/>
      </w:pPr>
      <w:r>
        <w:rPr>
          <w:sz w:val="20"/>
        </w:rPr>
        <w:t>（</w:t>
      </w:r>
      <w:r>
        <w:rPr>
          <w:sz w:val="20"/>
        </w:rPr>
        <w:t>1</w:t>
      </w:r>
      <w:r>
        <w:rPr>
          <w:sz w:val="20"/>
        </w:rPr>
        <w:t>）由有效投标人进行演示，演示时间不超过</w:t>
      </w:r>
      <w:r>
        <w:rPr>
          <w:sz w:val="20"/>
        </w:rPr>
        <w:t>15</w:t>
      </w:r>
      <w:r>
        <w:rPr>
          <w:sz w:val="20"/>
        </w:rPr>
        <w:t>分钟（评委提问的答辩时间不计算在内）。</w:t>
      </w:r>
    </w:p>
    <w:p>
      <w:pPr>
        <w:pStyle w:val="null3"/>
        <w:ind w:firstLine="400"/>
      </w:pPr>
      <w:r>
        <w:rPr>
          <w:sz w:val="20"/>
        </w:rPr>
        <w:t>（</w:t>
      </w:r>
      <w:r>
        <w:rPr>
          <w:sz w:val="20"/>
        </w:rPr>
        <w:t>2</w:t>
      </w:r>
      <w:r>
        <w:rPr>
          <w:sz w:val="20"/>
        </w:rPr>
        <w:t>）评标现场无法提供联网服务，也不允许携带手机等通讯设备，只允许脱机演示，投标人需自行准备现场演示相关必要设备，评审现场仅提供</w:t>
      </w:r>
      <w:r>
        <w:rPr>
          <w:sz w:val="20"/>
        </w:rPr>
        <w:t>VGA/HDMI</w:t>
      </w:r>
      <w:r>
        <w:rPr>
          <w:sz w:val="20"/>
        </w:rPr>
        <w:t>接口投影仪，请自行准备接口转换器。如需使用移动终端实现演示功能的，建议使用平板电脑等非手机移动终端。</w:t>
      </w:r>
    </w:p>
    <w:p>
      <w:pPr>
        <w:pStyle w:val="null3"/>
        <w:ind w:firstLine="400"/>
      </w:pPr>
      <w:r>
        <w:rPr>
          <w:sz w:val="20"/>
        </w:rPr>
        <w:t>（</w:t>
      </w:r>
      <w:r>
        <w:rPr>
          <w:sz w:val="20"/>
        </w:rPr>
        <w:t>3</w:t>
      </w:r>
      <w:r>
        <w:rPr>
          <w:sz w:val="20"/>
        </w:rPr>
        <w:t>）参加演示的人员在开标当天开标结束后（建议在开标结束后</w:t>
      </w:r>
      <w:r>
        <w:rPr>
          <w:sz w:val="20"/>
        </w:rPr>
        <w:t>60</w:t>
      </w:r>
      <w:r>
        <w:rPr>
          <w:sz w:val="20"/>
        </w:rPr>
        <w:t>分钟到达现场等候，例：如开标结束时间为</w:t>
      </w:r>
      <w:r>
        <w:rPr>
          <w:sz w:val="20"/>
        </w:rPr>
        <w:t>10</w:t>
      </w:r>
      <w:r>
        <w:rPr>
          <w:sz w:val="20"/>
        </w:rPr>
        <w:t>：</w:t>
      </w:r>
      <w:r>
        <w:rPr>
          <w:sz w:val="20"/>
        </w:rPr>
        <w:t>00</w:t>
      </w:r>
      <w:r>
        <w:rPr>
          <w:sz w:val="20"/>
        </w:rPr>
        <w:t>，则在</w:t>
      </w:r>
      <w:r>
        <w:rPr>
          <w:sz w:val="20"/>
        </w:rPr>
        <w:t>11</w:t>
      </w:r>
      <w:r>
        <w:rPr>
          <w:sz w:val="20"/>
        </w:rPr>
        <w:t>：</w:t>
      </w:r>
      <w:r>
        <w:rPr>
          <w:sz w:val="20"/>
        </w:rPr>
        <w:t>00</w:t>
      </w:r>
      <w:r>
        <w:rPr>
          <w:sz w:val="20"/>
        </w:rPr>
        <w:t>到达）自行在中山市公共资源交易中心（中山市博爱六路</w:t>
      </w:r>
      <w:r>
        <w:rPr>
          <w:sz w:val="20"/>
        </w:rPr>
        <w:t>22</w:t>
      </w:r>
      <w:r>
        <w:rPr>
          <w:sz w:val="20"/>
        </w:rPr>
        <w:t>号行政服务中心二楼</w:t>
      </w:r>
      <w:r>
        <w:rPr>
          <w:sz w:val="20"/>
        </w:rPr>
        <w:t>D</w:t>
      </w:r>
      <w:r>
        <w:rPr>
          <w:sz w:val="20"/>
        </w:rPr>
        <w:t>区）本项目对应开标室现场等待并保持电话畅通（具体开标室详见投标当天开标大厅大屏幕），由评委视评审进度安排演示，演示先后顺序由评标委员会确定，未在现场等候或超过评委确定的演示时间未到达现场的视为不进行演示，该评审项不得分。</w:t>
      </w:r>
    </w:p>
    <w:p>
      <w:pPr>
        <w:pStyle w:val="null3"/>
        <w:ind w:firstLine="400"/>
      </w:pPr>
      <w:r>
        <w:rPr>
          <w:sz w:val="20"/>
        </w:rPr>
        <w:t>（</w:t>
      </w:r>
      <w:r>
        <w:rPr>
          <w:sz w:val="20"/>
        </w:rPr>
        <w:t>4</w:t>
      </w:r>
      <w:r>
        <w:rPr>
          <w:sz w:val="20"/>
        </w:rPr>
        <w:t>）投标人参与现场演示人员须携带有效授权委托书和身份证，现场演示最多</w:t>
      </w:r>
      <w:r>
        <w:rPr>
          <w:sz w:val="20"/>
        </w:rPr>
        <w:t>2</w:t>
      </w:r>
      <w:r>
        <w:rPr>
          <w:sz w:val="20"/>
        </w:rPr>
        <w:t>人。</w:t>
      </w:r>
    </w:p>
    <w:p>
      <w:pPr>
        <w:pStyle w:val="null3"/>
        <w:ind w:firstLine="480"/>
      </w:pPr>
      <w:r>
        <w:rPr/>
        <w:t>采购包1（电子卷宗随案同步生成及档案管理和诉讼事务服务）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服务期限为12个月，起止时间为自2025年4月12日至2026年4月11日止。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分期支付)：支付比例100%，具体付款方式按以下程序：1.首次结算：合同签订后10个工作日内，采购人向供应商支付合同总金额的50%作为第一期款项，剩余合同总金额费用按常规结算方式结算。2.常规结算：剩余合同总金额的45%分三期支付，每三个月支付一次。3.项目完工并通过验收后，15个工作日内，采购人向供应商支付剩余合同总金额的5%。注：本项目资金来源为财政资金，相关付款程序严格遵守政府财政资金支付程序规定。。</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相关行业标准及招标文件要求进行验收。供应商应按时保质保量地完成服务工作，并按约定的时间和方式向采购人交付工作成果。采购人应对供应商提交的工作成果按约定质量标准进行验收，并出具验收意见及评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电子卷宗随案同步生成及档案管理和诉讼事务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2,890,000.00</w:t>
            </w:r>
          </w:p>
        </w:tc>
        <w:tc>
          <w:tcPr>
            <w:tcW w:type="dxa" w:w="933"/>
          </w:tcPr>
          <w:p>
            <w:pPr>
              <w:pStyle w:val="null3"/>
              <w:jc w:val="right"/>
            </w:pPr>
            <w:r>
              <w:rPr/>
              <w:t>2,890,000.00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电子卷宗随案同步生成及档案管理和诉讼事务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一、服务内容及目标</w:t>
            </w:r>
          </w:p>
          <w:p>
            <w:pPr>
              <w:pStyle w:val="null3"/>
              <w:ind w:firstLine="400"/>
            </w:pPr>
            <w:r>
              <w:rPr>
                <w:sz w:val="20"/>
              </w:rPr>
              <w:t>1.</w:t>
            </w:r>
            <w:r>
              <w:rPr>
                <w:sz w:val="20"/>
              </w:rPr>
              <w:t>电子卷宗随案同步生成服务（约</w:t>
            </w:r>
            <w:r>
              <w:rPr>
                <w:sz w:val="20"/>
              </w:rPr>
              <w:t>13</w:t>
            </w:r>
            <w:r>
              <w:rPr>
                <w:sz w:val="20"/>
              </w:rPr>
              <w:t>人，约</w:t>
            </w:r>
            <w:r>
              <w:rPr>
                <w:sz w:val="20"/>
              </w:rPr>
              <w:t>1.2</w:t>
            </w:r>
            <w:r>
              <w:rPr>
                <w:sz w:val="20"/>
              </w:rPr>
              <w:t>万宗卷宗）：材料收转、立案阶段材料扫描、审理阶段补充材料扫描、材料编目质检、纸质卷宗管理、一键电子转（归）档以及纸质卷归档、整理卷宗和档案装订上架工作的全流程无纸化服务。</w:t>
            </w:r>
          </w:p>
          <w:p>
            <w:pPr>
              <w:pStyle w:val="null3"/>
              <w:ind w:firstLine="400"/>
            </w:pPr>
            <w:r>
              <w:rPr>
                <w:sz w:val="20"/>
              </w:rPr>
              <w:t>2.</w:t>
            </w:r>
            <w:r>
              <w:rPr>
                <w:sz w:val="20"/>
              </w:rPr>
              <w:t>档案图文数字化服务（约</w:t>
            </w:r>
            <w:r>
              <w:rPr>
                <w:sz w:val="20"/>
              </w:rPr>
              <w:t>7</w:t>
            </w:r>
            <w:r>
              <w:rPr>
                <w:sz w:val="20"/>
              </w:rPr>
              <w:t>人，流水线工作）：档案接收领取、纸质档案扫描前整理、档案电子影像扫描、图像处理、图文信息著录、图文质量检查、数据挂接和档案装订工作。含库存诉讼档案、文书档案、会计档案、照片档案等各类库存未数字化档案，以及核对并验收我院库存已数字化档案数据。</w:t>
            </w:r>
          </w:p>
          <w:p>
            <w:pPr>
              <w:pStyle w:val="null3"/>
              <w:ind w:firstLine="400"/>
            </w:pPr>
            <w:r>
              <w:rPr>
                <w:sz w:val="20"/>
              </w:rPr>
              <w:t>3.</w:t>
            </w:r>
            <w:r>
              <w:rPr>
                <w:sz w:val="20"/>
              </w:rPr>
              <w:t>诉讼辅助服务（约</w:t>
            </w:r>
            <w:r>
              <w:rPr>
                <w:sz w:val="20"/>
              </w:rPr>
              <w:t xml:space="preserve">9 </w:t>
            </w:r>
            <w:r>
              <w:rPr>
                <w:sz w:val="20"/>
              </w:rPr>
              <w:t>人，约</w:t>
            </w:r>
            <w:r>
              <w:rPr>
                <w:sz w:val="20"/>
              </w:rPr>
              <w:t xml:space="preserve">1.7 </w:t>
            </w:r>
            <w:r>
              <w:rPr>
                <w:sz w:val="20"/>
              </w:rPr>
              <w:t>万宗卷宗）：立案扫描、立案信息录入、文书制作与打印，以及诉讼材料的送达工作等。</w:t>
            </w:r>
          </w:p>
          <w:p>
            <w:pPr>
              <w:pStyle w:val="null3"/>
              <w:ind w:firstLine="400"/>
            </w:pPr>
            <w:r>
              <w:rPr>
                <w:sz w:val="20"/>
              </w:rPr>
              <w:t>4.</w:t>
            </w:r>
            <w:r>
              <w:rPr>
                <w:sz w:val="20"/>
              </w:rPr>
              <w:t>档案管理服务（约</w:t>
            </w:r>
            <w:r>
              <w:rPr>
                <w:sz w:val="20"/>
              </w:rPr>
              <w:t xml:space="preserve">11 </w:t>
            </w:r>
            <w:r>
              <w:rPr>
                <w:sz w:val="20"/>
              </w:rPr>
              <w:t>人）：协助档案追收、档案整理（约</w:t>
            </w:r>
            <w:r>
              <w:rPr>
                <w:sz w:val="20"/>
              </w:rPr>
              <w:t xml:space="preserve">5000 </w:t>
            </w:r>
            <w:r>
              <w:rPr>
                <w:sz w:val="20"/>
              </w:rPr>
              <w:t>宗）、接收检查、库房盘点、档案咨询服务、协助办理档案查阅与借阅手续、调取档案资料、</w:t>
            </w:r>
            <w:r>
              <w:rPr>
                <w:sz w:val="20"/>
              </w:rPr>
              <w:t xml:space="preserve">RFID </w:t>
            </w:r>
            <w:r>
              <w:rPr>
                <w:sz w:val="20"/>
              </w:rPr>
              <w:t>库房卷宗管理（提供</w:t>
            </w:r>
            <w:r>
              <w:rPr>
                <w:sz w:val="20"/>
              </w:rPr>
              <w:t xml:space="preserve">7 </w:t>
            </w:r>
            <w:r>
              <w:rPr>
                <w:sz w:val="20"/>
              </w:rPr>
              <w:t>万条</w:t>
            </w:r>
            <w:r>
              <w:rPr>
                <w:sz w:val="20"/>
              </w:rPr>
              <w:t xml:space="preserve">RFID </w:t>
            </w:r>
            <w:r>
              <w:rPr>
                <w:sz w:val="20"/>
              </w:rPr>
              <w:t>电子标签）、档案管理系统升级维护、档案搬迁等相关工作。</w:t>
            </w:r>
          </w:p>
        </w:tc>
      </w:tr>
      <w:tr>
        <w:tc>
          <w:tcPr>
            <w:tcW w:type="dxa" w:w="2076"/>
          </w:tcPr>
          <w:p/>
        </w:tc>
        <w:tc>
          <w:tcPr>
            <w:tcW w:type="dxa" w:w="415"/>
          </w:tcPr>
          <w:p>
            <w:pPr>
              <w:pStyle w:val="null3"/>
            </w:pPr>
            <w:r>
              <w:rPr/>
              <w:t>2</w:t>
            </w:r>
          </w:p>
        </w:tc>
        <w:tc>
          <w:tcPr>
            <w:tcW w:type="dxa" w:w="5814"/>
          </w:tcPr>
          <w:p>
            <w:pPr>
              <w:pStyle w:val="null3"/>
            </w:pPr>
            <w:r>
              <w:rPr>
                <w:sz w:val="20"/>
                <w:b/>
              </w:rPr>
              <w:t>二、人员要求</w:t>
            </w:r>
          </w:p>
          <w:p>
            <w:pPr>
              <w:pStyle w:val="null3"/>
              <w:ind w:firstLine="400"/>
            </w:pPr>
            <w:r>
              <w:rPr>
                <w:sz w:val="20"/>
              </w:rPr>
              <w:t>1.</w:t>
            </w:r>
            <w:r>
              <w:rPr>
                <w:sz w:val="20"/>
              </w:rPr>
              <w:t>根据以上服务内容，拟投入本项目的工作人员不得少于</w:t>
            </w:r>
            <w:r>
              <w:rPr>
                <w:sz w:val="20"/>
              </w:rPr>
              <w:t>40</w:t>
            </w:r>
            <w:r>
              <w:rPr>
                <w:sz w:val="20"/>
              </w:rPr>
              <w:t>人。</w:t>
            </w:r>
          </w:p>
          <w:p>
            <w:pPr>
              <w:pStyle w:val="null3"/>
              <w:ind w:firstLine="400"/>
            </w:pPr>
            <w:r>
              <w:rPr>
                <w:sz w:val="20"/>
              </w:rPr>
              <w:t>（</w:t>
            </w:r>
            <w:r>
              <w:rPr>
                <w:sz w:val="20"/>
              </w:rPr>
              <w:t>1</w:t>
            </w:r>
            <w:r>
              <w:rPr>
                <w:sz w:val="20"/>
              </w:rPr>
              <w:t>）坚持四项基本原则，有良好的政治素质，遵纪守法，作风正派，品行端正，无违法犯罪记录，热爱法院工作；</w:t>
            </w:r>
          </w:p>
          <w:p>
            <w:pPr>
              <w:pStyle w:val="null3"/>
              <w:ind w:firstLine="400"/>
            </w:pPr>
            <w:r>
              <w:rPr>
                <w:sz w:val="20"/>
              </w:rPr>
              <w:t>（</w:t>
            </w:r>
            <w:r>
              <w:rPr>
                <w:sz w:val="20"/>
              </w:rPr>
              <w:t>2</w:t>
            </w:r>
            <w:r>
              <w:rPr>
                <w:sz w:val="20"/>
              </w:rPr>
              <w:t>）具有正常履行职责的身体条件和工作能力，工作责任感强，能吃苦耐劳，工作细致，能承受工作压力，有良好的沟通能力和团队合作精神；</w:t>
            </w:r>
          </w:p>
          <w:p>
            <w:pPr>
              <w:pStyle w:val="null3"/>
              <w:ind w:firstLine="400"/>
            </w:pPr>
            <w:r>
              <w:rPr>
                <w:sz w:val="20"/>
              </w:rPr>
              <w:t>（</w:t>
            </w:r>
            <w:r>
              <w:rPr>
                <w:sz w:val="20"/>
              </w:rPr>
              <w:t>3</w:t>
            </w:r>
            <w:r>
              <w:rPr>
                <w:sz w:val="20"/>
              </w:rPr>
              <w:t>）身体健康，能胜任服务岗位的工作；</w:t>
            </w:r>
          </w:p>
          <w:p>
            <w:pPr>
              <w:pStyle w:val="null3"/>
              <w:ind w:firstLine="400"/>
            </w:pPr>
            <w:r>
              <w:rPr>
                <w:sz w:val="20"/>
              </w:rPr>
              <w:t>（</w:t>
            </w:r>
            <w:r>
              <w:rPr>
                <w:sz w:val="20"/>
              </w:rPr>
              <w:t>4</w:t>
            </w:r>
            <w:r>
              <w:rPr>
                <w:sz w:val="20"/>
              </w:rPr>
              <w:t>）能熟练操作计算机，会使用常用办公软件（如：</w:t>
            </w:r>
            <w:r>
              <w:rPr>
                <w:sz w:val="20"/>
              </w:rPr>
              <w:t>Word</w:t>
            </w:r>
            <w:r>
              <w:rPr>
                <w:sz w:val="20"/>
              </w:rPr>
              <w:t>、</w:t>
            </w:r>
            <w:r>
              <w:rPr>
                <w:sz w:val="20"/>
              </w:rPr>
              <w:t>Excel</w:t>
            </w:r>
            <w:r>
              <w:rPr>
                <w:sz w:val="20"/>
              </w:rPr>
              <w:t>），快速进行文字输入工作及档案整理工作；</w:t>
            </w:r>
          </w:p>
          <w:p>
            <w:pPr>
              <w:pStyle w:val="null3"/>
              <w:ind w:firstLine="400"/>
            </w:pPr>
            <w:r>
              <w:rPr>
                <w:sz w:val="20"/>
              </w:rPr>
              <w:t>（</w:t>
            </w:r>
            <w:r>
              <w:rPr>
                <w:sz w:val="20"/>
              </w:rPr>
              <w:t>5</w:t>
            </w:r>
            <w:r>
              <w:rPr>
                <w:sz w:val="20"/>
              </w:rPr>
              <w:t>）遵守中山市中级人民法院日常管理制度及工作规范。</w:t>
            </w:r>
          </w:p>
          <w:p>
            <w:pPr>
              <w:pStyle w:val="null3"/>
              <w:ind w:firstLine="400"/>
            </w:pPr>
            <w:r>
              <w:rPr>
                <w:sz w:val="20"/>
              </w:rPr>
              <w:t>2.</w:t>
            </w:r>
            <w:r>
              <w:rPr>
                <w:sz w:val="20"/>
              </w:rPr>
              <w:t>下列人员不得担任本工作人员：</w:t>
            </w:r>
          </w:p>
          <w:p>
            <w:pPr>
              <w:pStyle w:val="null3"/>
              <w:ind w:firstLine="400"/>
            </w:pPr>
            <w:r>
              <w:rPr>
                <w:sz w:val="20"/>
              </w:rPr>
              <w:t>（</w:t>
            </w:r>
            <w:r>
              <w:rPr>
                <w:sz w:val="20"/>
              </w:rPr>
              <w:t>1</w:t>
            </w:r>
            <w:r>
              <w:rPr>
                <w:sz w:val="20"/>
              </w:rPr>
              <w:t>）因犯罪受过刑事处罚的；</w:t>
            </w:r>
          </w:p>
          <w:p>
            <w:pPr>
              <w:pStyle w:val="null3"/>
              <w:ind w:firstLine="400"/>
            </w:pPr>
            <w:r>
              <w:rPr>
                <w:sz w:val="20"/>
              </w:rPr>
              <w:t>（</w:t>
            </w:r>
            <w:r>
              <w:rPr>
                <w:sz w:val="20"/>
              </w:rPr>
              <w:t>2</w:t>
            </w:r>
            <w:r>
              <w:rPr>
                <w:sz w:val="20"/>
              </w:rPr>
              <w:t>）曾被开除公职或辞退的；</w:t>
            </w:r>
          </w:p>
          <w:p>
            <w:pPr>
              <w:pStyle w:val="null3"/>
              <w:ind w:firstLine="400"/>
            </w:pPr>
            <w:r>
              <w:rPr>
                <w:sz w:val="20"/>
              </w:rPr>
              <w:t>（</w:t>
            </w:r>
            <w:r>
              <w:rPr>
                <w:sz w:val="20"/>
              </w:rPr>
              <w:t>3</w:t>
            </w:r>
            <w:r>
              <w:rPr>
                <w:sz w:val="20"/>
              </w:rPr>
              <w:t>）涉嫌违法违纪正在接受审查的。</w:t>
            </w:r>
          </w:p>
        </w:tc>
      </w:tr>
      <w:tr>
        <w:tc>
          <w:tcPr>
            <w:tcW w:type="dxa" w:w="2076"/>
          </w:tcPr>
          <w:p/>
        </w:tc>
        <w:tc>
          <w:tcPr>
            <w:tcW w:type="dxa" w:w="415"/>
          </w:tcPr>
          <w:p>
            <w:pPr>
              <w:pStyle w:val="null3"/>
            </w:pPr>
            <w:r>
              <w:rPr/>
              <w:t>3</w:t>
            </w:r>
          </w:p>
        </w:tc>
        <w:tc>
          <w:tcPr>
            <w:tcW w:type="dxa" w:w="5814"/>
          </w:tcPr>
          <w:p>
            <w:pPr>
              <w:pStyle w:val="null3"/>
            </w:pPr>
            <w:r>
              <w:rPr>
                <w:sz w:val="20"/>
                <w:b/>
              </w:rPr>
              <w:t>三、工作明细</w:t>
            </w:r>
          </w:p>
          <w:p>
            <w:pPr>
              <w:pStyle w:val="null3"/>
            </w:pPr>
            <w:r>
              <w:rPr>
                <w:sz w:val="20"/>
                <w:b/>
              </w:rPr>
              <w:t>（一）电子卷宗随案同步生成服务</w:t>
            </w:r>
          </w:p>
          <w:p>
            <w:pPr>
              <w:pStyle w:val="null3"/>
              <w:ind w:firstLine="400"/>
            </w:pPr>
            <w:r>
              <w:rPr>
                <w:sz w:val="20"/>
              </w:rPr>
              <w:t>对我院所有卷宗从立案至归档上架的生命周期进行跟踪，最终形成可供查阅的电子档案和纸质档案。人员配置：扫描</w:t>
            </w:r>
            <w:r>
              <w:rPr>
                <w:sz w:val="20"/>
              </w:rPr>
              <w:t xml:space="preserve">2 </w:t>
            </w:r>
            <w:r>
              <w:rPr>
                <w:sz w:val="20"/>
              </w:rPr>
              <w:t>人、编目</w:t>
            </w:r>
            <w:r>
              <w:rPr>
                <w:sz w:val="20"/>
              </w:rPr>
              <w:t xml:space="preserve">2 </w:t>
            </w:r>
            <w:r>
              <w:rPr>
                <w:sz w:val="20"/>
              </w:rPr>
              <w:t>人、中间库管理</w:t>
            </w:r>
            <w:r>
              <w:rPr>
                <w:sz w:val="20"/>
              </w:rPr>
              <w:t xml:space="preserve">1 </w:t>
            </w:r>
            <w:r>
              <w:rPr>
                <w:sz w:val="20"/>
              </w:rPr>
              <w:t>人、整理转档</w:t>
            </w:r>
            <w:r>
              <w:rPr>
                <w:sz w:val="20"/>
              </w:rPr>
              <w:t>8</w:t>
            </w:r>
            <w:r>
              <w:rPr>
                <w:sz w:val="20"/>
              </w:rPr>
              <w:t>人。人员配置可根据实际情况调动。</w:t>
            </w:r>
          </w:p>
          <w:p>
            <w:pPr>
              <w:pStyle w:val="null3"/>
            </w:pPr>
            <w:r>
              <w:rPr>
                <w:sz w:val="20"/>
              </w:rPr>
              <w:t>1.</w:t>
            </w:r>
            <w:r>
              <w:rPr>
                <w:sz w:val="20"/>
              </w:rPr>
              <w:t>材料收转服务</w:t>
            </w:r>
          </w:p>
          <w:p>
            <w:pPr>
              <w:pStyle w:val="null3"/>
              <w:ind w:firstLine="400"/>
            </w:pPr>
            <w:r>
              <w:rPr>
                <w:sz w:val="20"/>
              </w:rPr>
              <w:t>（</w:t>
            </w:r>
            <w:r>
              <w:rPr>
                <w:sz w:val="20"/>
              </w:rPr>
              <w:t>1</w:t>
            </w:r>
            <w:r>
              <w:rPr>
                <w:sz w:val="20"/>
              </w:rPr>
              <w:t>）供应商应提供立案阶段先立案后扫描或先扫后立纸质卷宗整体流转运行机制。</w:t>
            </w:r>
          </w:p>
          <w:p>
            <w:pPr>
              <w:pStyle w:val="null3"/>
              <w:ind w:firstLine="400"/>
            </w:pPr>
            <w:r>
              <w:rPr>
                <w:sz w:val="20"/>
              </w:rPr>
              <w:t>（</w:t>
            </w:r>
            <w:r>
              <w:rPr>
                <w:sz w:val="20"/>
              </w:rPr>
              <w:t>2</w:t>
            </w:r>
            <w:r>
              <w:rPr>
                <w:sz w:val="20"/>
              </w:rPr>
              <w:t>）供应商应提供材料收转环节针对现场立案，邮寄立案和巡回收集的工作方法。</w:t>
            </w:r>
          </w:p>
          <w:p>
            <w:pPr>
              <w:pStyle w:val="null3"/>
              <w:ind w:firstLine="400"/>
            </w:pPr>
            <w:r>
              <w:rPr>
                <w:sz w:val="20"/>
              </w:rPr>
              <w:t>（</w:t>
            </w:r>
            <w:r>
              <w:rPr>
                <w:sz w:val="20"/>
              </w:rPr>
              <w:t>3</w:t>
            </w:r>
            <w:r>
              <w:rPr>
                <w:sz w:val="20"/>
              </w:rPr>
              <w:t>）供应商应提供材料收转环节材料登记服务与材料质检服务。</w:t>
            </w:r>
          </w:p>
          <w:p>
            <w:pPr>
              <w:pStyle w:val="null3"/>
            </w:pPr>
            <w:r>
              <w:rPr>
                <w:sz w:val="20"/>
              </w:rPr>
              <w:t>2.</w:t>
            </w:r>
            <w:r>
              <w:rPr>
                <w:sz w:val="20"/>
              </w:rPr>
              <w:t>立案材料电子化服务</w:t>
            </w:r>
          </w:p>
          <w:p>
            <w:pPr>
              <w:pStyle w:val="null3"/>
              <w:ind w:firstLine="400"/>
            </w:pPr>
            <w:r>
              <w:rPr>
                <w:sz w:val="20"/>
              </w:rPr>
              <w:t>（</w:t>
            </w:r>
            <w:r>
              <w:rPr>
                <w:sz w:val="20"/>
              </w:rPr>
              <w:t>1</w:t>
            </w:r>
            <w:r>
              <w:rPr>
                <w:sz w:val="20"/>
              </w:rPr>
              <w:t>）供应商应按照法官阅卷习惯、档案级要求进行电子化服务。</w:t>
            </w:r>
          </w:p>
          <w:p>
            <w:pPr>
              <w:pStyle w:val="null3"/>
              <w:ind w:firstLine="400"/>
            </w:pPr>
            <w:r>
              <w:rPr>
                <w:sz w:val="20"/>
              </w:rPr>
              <w:t>（</w:t>
            </w:r>
            <w:r>
              <w:rPr>
                <w:sz w:val="20"/>
              </w:rPr>
              <w:t>2</w:t>
            </w:r>
            <w:r>
              <w:rPr>
                <w:sz w:val="20"/>
              </w:rPr>
              <w:t>）供应商应在完成材料收转</w:t>
            </w:r>
            <w:r>
              <w:rPr>
                <w:sz w:val="20"/>
              </w:rPr>
              <w:t xml:space="preserve">1 </w:t>
            </w:r>
            <w:r>
              <w:rPr>
                <w:sz w:val="20"/>
              </w:rPr>
              <w:t>日内完成纸质卷宗电子化工作，当日完成扫描的起诉立案材料当日移送中间库。</w:t>
            </w:r>
          </w:p>
          <w:p>
            <w:pPr>
              <w:pStyle w:val="null3"/>
              <w:ind w:firstLine="400"/>
            </w:pPr>
            <w:r>
              <w:rPr>
                <w:sz w:val="20"/>
              </w:rPr>
              <w:t>（</w:t>
            </w:r>
            <w:r>
              <w:rPr>
                <w:sz w:val="20"/>
              </w:rPr>
              <w:t>3</w:t>
            </w:r>
            <w:r>
              <w:rPr>
                <w:sz w:val="20"/>
              </w:rPr>
              <w:t>）供应商应制定完整、高效的起诉立案材料电子化标准作业流程和分类方案，提高立案效率及提升无纸化阅卷成效。</w:t>
            </w:r>
          </w:p>
          <w:p>
            <w:pPr>
              <w:pStyle w:val="null3"/>
            </w:pPr>
            <w:r>
              <w:rPr>
                <w:sz w:val="20"/>
              </w:rPr>
              <w:t>3.</w:t>
            </w:r>
            <w:r>
              <w:rPr>
                <w:sz w:val="20"/>
              </w:rPr>
              <w:t>补充材料电子化服务</w:t>
            </w:r>
          </w:p>
          <w:p>
            <w:pPr>
              <w:pStyle w:val="null3"/>
              <w:ind w:firstLine="400"/>
            </w:pPr>
            <w:r>
              <w:rPr>
                <w:sz w:val="20"/>
              </w:rPr>
              <w:t>（</w:t>
            </w:r>
            <w:r>
              <w:rPr>
                <w:sz w:val="20"/>
              </w:rPr>
              <w:t>1</w:t>
            </w:r>
            <w:r>
              <w:rPr>
                <w:sz w:val="20"/>
              </w:rPr>
              <w:t>）供应商应在收到补充材料后</w:t>
            </w:r>
            <w:r>
              <w:rPr>
                <w:sz w:val="20"/>
              </w:rPr>
              <w:t xml:space="preserve">1 </w:t>
            </w:r>
            <w:r>
              <w:rPr>
                <w:sz w:val="20"/>
              </w:rPr>
              <w:t>日内完成电子化工作，电子化后的材料移送中间库。</w:t>
            </w:r>
          </w:p>
          <w:p>
            <w:pPr>
              <w:pStyle w:val="null3"/>
              <w:ind w:firstLine="400"/>
            </w:pPr>
            <w:r>
              <w:rPr>
                <w:sz w:val="20"/>
              </w:rPr>
              <w:t>（</w:t>
            </w:r>
            <w:r>
              <w:rPr>
                <w:sz w:val="20"/>
              </w:rPr>
              <w:t>2</w:t>
            </w:r>
            <w:r>
              <w:rPr>
                <w:sz w:val="20"/>
              </w:rPr>
              <w:t>）供应商应相应制定完整、高效的补充材料电子化标准作业流程和分类方案，提高随案扫描成效和提升无纸化阅卷成效。</w:t>
            </w:r>
          </w:p>
          <w:p>
            <w:pPr>
              <w:pStyle w:val="null3"/>
            </w:pPr>
            <w:r>
              <w:rPr>
                <w:sz w:val="20"/>
              </w:rPr>
              <w:t>4.</w:t>
            </w:r>
            <w:r>
              <w:rPr>
                <w:sz w:val="20"/>
              </w:rPr>
              <w:t>集中编目服务</w:t>
            </w:r>
          </w:p>
          <w:p>
            <w:pPr>
              <w:pStyle w:val="null3"/>
              <w:ind w:firstLine="400"/>
            </w:pPr>
            <w:r>
              <w:rPr>
                <w:sz w:val="20"/>
              </w:rPr>
              <w:t>供应商应提供全面的线上、线下材料编目服务方案，并根据无纸化办案需求，通过要素式提取，利用感知技术、认知技术等为采购方提供后台材料名称与阅卷以及归档目录匹配的关键词基础数据维护，通过精细化编目以提高材料入卷归目的准确性、办案人员查阅电子卷宗的便利性和电子卷宗归档的准确性。方案内容应包括：</w:t>
            </w:r>
          </w:p>
          <w:p>
            <w:pPr>
              <w:pStyle w:val="null3"/>
            </w:pPr>
            <w:r>
              <w:rPr>
                <w:sz w:val="20"/>
              </w:rPr>
              <w:t>（</w:t>
            </w:r>
            <w:r>
              <w:rPr>
                <w:sz w:val="20"/>
              </w:rPr>
              <w:t>1</w:t>
            </w:r>
            <w:r>
              <w:rPr>
                <w:sz w:val="20"/>
              </w:rPr>
              <w:t>）编目规范方案</w:t>
            </w:r>
          </w:p>
          <w:p>
            <w:pPr>
              <w:pStyle w:val="null3"/>
              <w:ind w:firstLine="400"/>
            </w:pPr>
            <w:r>
              <w:rPr>
                <w:sz w:val="20"/>
              </w:rPr>
              <w:t>供应商根据相关规定制定精细化编目规范，包括名称标注原则、分类、规范，以及材料分别归目（阅卷目录和档案卷目录）的规范。</w:t>
            </w:r>
          </w:p>
          <w:p>
            <w:pPr>
              <w:pStyle w:val="null3"/>
            </w:pPr>
            <w:r>
              <w:rPr>
                <w:sz w:val="20"/>
              </w:rPr>
              <w:t>（</w:t>
            </w:r>
            <w:r>
              <w:rPr>
                <w:sz w:val="20"/>
              </w:rPr>
              <w:t>2</w:t>
            </w:r>
            <w:r>
              <w:rPr>
                <w:sz w:val="20"/>
              </w:rPr>
              <w:t>）精细化编目服务</w:t>
            </w:r>
          </w:p>
          <w:p>
            <w:pPr>
              <w:pStyle w:val="null3"/>
              <w:ind w:firstLine="400"/>
            </w:pPr>
            <w:r>
              <w:rPr>
                <w:sz w:val="20"/>
              </w:rPr>
              <w:t>提供二次精细化编目服务。在维护材料名称、阅卷目录等基本属性的前提下，通过软件能力加人工提取并用技术方式进行要素信息抽取，根据抽取结果拼接重组材料编目名称，使材料命名更精细、归目更准确，以提升办案人员阅卷体验以及归档效率。</w:t>
            </w:r>
          </w:p>
          <w:p>
            <w:pPr>
              <w:pStyle w:val="null3"/>
            </w:pPr>
            <w:r>
              <w:rPr>
                <w:sz w:val="20"/>
              </w:rPr>
              <w:t>（</w:t>
            </w:r>
            <w:r>
              <w:rPr>
                <w:sz w:val="20"/>
              </w:rPr>
              <w:t>3</w:t>
            </w:r>
            <w:r>
              <w:rPr>
                <w:sz w:val="20"/>
              </w:rPr>
              <w:t>）编目质检服务</w:t>
            </w:r>
          </w:p>
          <w:p>
            <w:pPr>
              <w:pStyle w:val="null3"/>
              <w:ind w:firstLine="400"/>
            </w:pPr>
            <w:r>
              <w:rPr>
                <w:sz w:val="20"/>
              </w:rPr>
              <w:t>对电子卷宗原始数据进行标注编目服务，并和电子卷宗原始数据的目录信息进行对比，保证电子卷宗原始数据和标注编目的名称一致，若有差异，进行人工手动修改，并针对材料电子化环节、法官阅卷环节、一键归档环节提供优化及调整服务。在材料移送编目电子化工作完成的同日完成名称标注及质检工作。编目质检服务主要包括外部质检（包括但不限于材料电子化环节、法院阅卷环节、一键归档环节等）和内部质检（包括名称标注质检、阅卷目录质检、档案卷目录质检等）两部分。</w:t>
            </w:r>
          </w:p>
          <w:p>
            <w:pPr>
              <w:pStyle w:val="null3"/>
            </w:pPr>
            <w:r>
              <w:rPr>
                <w:sz w:val="20"/>
              </w:rPr>
              <w:t>（</w:t>
            </w:r>
            <w:r>
              <w:rPr>
                <w:sz w:val="20"/>
              </w:rPr>
              <w:t>4</w:t>
            </w:r>
            <w:r>
              <w:rPr>
                <w:sz w:val="20"/>
              </w:rPr>
              <w:t>）编目时效性方案</w:t>
            </w:r>
          </w:p>
          <w:p>
            <w:pPr>
              <w:pStyle w:val="null3"/>
              <w:ind w:firstLine="400"/>
            </w:pPr>
            <w:r>
              <w:rPr>
                <w:sz w:val="20"/>
              </w:rPr>
              <w:t>供应商应提供优化编目任务分派算法和编目服务管理方案，以提升智能分派编目任务效率。</w:t>
            </w:r>
          </w:p>
          <w:p>
            <w:pPr>
              <w:pStyle w:val="null3"/>
            </w:pPr>
            <w:r>
              <w:rPr>
                <w:sz w:val="20"/>
              </w:rPr>
              <w:t>（</w:t>
            </w:r>
            <w:r>
              <w:rPr>
                <w:sz w:val="20"/>
              </w:rPr>
              <w:t>5</w:t>
            </w:r>
            <w:r>
              <w:rPr>
                <w:sz w:val="20"/>
              </w:rPr>
              <w:t>）归目服务方案</w:t>
            </w:r>
          </w:p>
          <w:p>
            <w:pPr>
              <w:pStyle w:val="null3"/>
              <w:ind w:firstLine="400"/>
            </w:pPr>
            <w:r>
              <w:rPr>
                <w:sz w:val="20"/>
              </w:rPr>
              <w:t>集中编目服务应提供归目服务方案，确保线上、线下材料归目准确率。</w:t>
            </w:r>
          </w:p>
          <w:p>
            <w:pPr>
              <w:pStyle w:val="null3"/>
            </w:pPr>
            <w:r>
              <w:rPr>
                <w:sz w:val="20"/>
              </w:rPr>
              <w:t>（</w:t>
            </w:r>
            <w:r>
              <w:rPr>
                <w:sz w:val="20"/>
              </w:rPr>
              <w:t>6</w:t>
            </w:r>
            <w:r>
              <w:rPr>
                <w:sz w:val="20"/>
              </w:rPr>
              <w:t>）编目服务岗位职责</w:t>
            </w:r>
          </w:p>
          <w:p>
            <w:pPr>
              <w:pStyle w:val="null3"/>
              <w:ind w:firstLine="400"/>
            </w:pPr>
            <w:r>
              <w:rPr>
                <w:sz w:val="20"/>
              </w:rPr>
              <w:t>供应商应在采购人提供的工作场所设立集中编目中心，按照集中编目工作流程建立配套的工作岗位。</w:t>
            </w:r>
          </w:p>
          <w:p>
            <w:pPr>
              <w:pStyle w:val="null3"/>
            </w:pPr>
            <w:r>
              <w:rPr>
                <w:sz w:val="20"/>
              </w:rPr>
              <w:t>5.</w:t>
            </w:r>
            <w:r>
              <w:rPr>
                <w:sz w:val="20"/>
              </w:rPr>
              <w:t>卷宗管理服务</w:t>
            </w:r>
          </w:p>
          <w:p>
            <w:pPr>
              <w:pStyle w:val="null3"/>
            </w:pPr>
            <w:r>
              <w:rPr>
                <w:sz w:val="20"/>
              </w:rPr>
              <w:t>★（</w:t>
            </w:r>
            <w:r>
              <w:rPr>
                <w:sz w:val="20"/>
              </w:rPr>
              <w:t>1</w:t>
            </w:r>
            <w:r>
              <w:rPr>
                <w:sz w:val="20"/>
              </w:rPr>
              <w:t>）材料流转机制</w:t>
            </w:r>
          </w:p>
          <w:p>
            <w:pPr>
              <w:pStyle w:val="null3"/>
              <w:ind w:firstLine="400"/>
            </w:pPr>
            <w:r>
              <w:rPr>
                <w:sz w:val="20"/>
              </w:rPr>
              <w:t>供应商应提供详尽的材料流转机制，包括但不限于卷宗借阅归还流程等。立案贴粘</w:t>
            </w:r>
            <w:r>
              <w:rPr>
                <w:sz w:val="20"/>
              </w:rPr>
              <w:t xml:space="preserve">RFID </w:t>
            </w:r>
            <w:r>
              <w:rPr>
                <w:sz w:val="20"/>
              </w:rPr>
              <w:t>电子标签，协助卷宗流转过程中管理。</w:t>
            </w:r>
          </w:p>
          <w:p>
            <w:pPr>
              <w:pStyle w:val="null3"/>
            </w:pPr>
            <w:r>
              <w:rPr>
                <w:sz w:val="20"/>
              </w:rPr>
              <w:t>（</w:t>
            </w:r>
            <w:r>
              <w:rPr>
                <w:sz w:val="20"/>
              </w:rPr>
              <w:t>2</w:t>
            </w:r>
            <w:r>
              <w:rPr>
                <w:sz w:val="20"/>
              </w:rPr>
              <w:t>）中间柜管理</w:t>
            </w:r>
          </w:p>
          <w:p>
            <w:pPr>
              <w:pStyle w:val="null3"/>
              <w:ind w:firstLine="400"/>
            </w:pPr>
            <w:r>
              <w:rPr>
                <w:sz w:val="20"/>
              </w:rPr>
              <w:t>供应商应提供中间柜（用于存放立案材料和补充材料等）管理方案。</w:t>
            </w:r>
          </w:p>
          <w:p>
            <w:pPr>
              <w:pStyle w:val="null3"/>
            </w:pPr>
            <w:r>
              <w:rPr>
                <w:sz w:val="20"/>
              </w:rPr>
              <w:t>（</w:t>
            </w:r>
            <w:r>
              <w:rPr>
                <w:sz w:val="20"/>
              </w:rPr>
              <w:t>3</w:t>
            </w:r>
            <w:r>
              <w:rPr>
                <w:sz w:val="20"/>
              </w:rPr>
              <w:t>）卷宗管理系统设计</w:t>
            </w:r>
          </w:p>
          <w:p>
            <w:pPr>
              <w:pStyle w:val="null3"/>
              <w:ind w:firstLine="400"/>
            </w:pPr>
            <w:r>
              <w:rPr>
                <w:sz w:val="20"/>
              </w:rPr>
              <w:t>供应商应提供卷宗管理软件设计方案。</w:t>
            </w:r>
          </w:p>
          <w:p>
            <w:pPr>
              <w:pStyle w:val="null3"/>
            </w:pPr>
            <w:r>
              <w:rPr>
                <w:sz w:val="20"/>
              </w:rPr>
              <w:t>6.</w:t>
            </w:r>
            <w:r>
              <w:rPr>
                <w:sz w:val="20"/>
              </w:rPr>
              <w:t>归档服务</w:t>
            </w:r>
          </w:p>
          <w:p>
            <w:pPr>
              <w:pStyle w:val="null3"/>
            </w:pPr>
            <w:r>
              <w:rPr>
                <w:sz w:val="20"/>
              </w:rPr>
              <w:t>（</w:t>
            </w:r>
            <w:r>
              <w:rPr>
                <w:sz w:val="20"/>
              </w:rPr>
              <w:t>1</w:t>
            </w:r>
            <w:r>
              <w:rPr>
                <w:sz w:val="20"/>
              </w:rPr>
              <w:t>）一键归档要求</w:t>
            </w:r>
          </w:p>
          <w:p>
            <w:pPr>
              <w:pStyle w:val="null3"/>
              <w:ind w:firstLine="400"/>
            </w:pPr>
            <w:r>
              <w:rPr>
                <w:sz w:val="20"/>
              </w:rPr>
              <w:t>供应商应提供适合采购人的一键归档服务方案。案件结案后，审判辅助人员即可通过供应商提供的相关配套事项管理系统（留痕管理）发起归档整理工作。供应商对提交归档整理的案件，应根据法院的归档要求，在规定的工作日内完成电子档案整理、纸质档案整理、集中打印（含各类法律文书）、页码制作、归档质检、电子推送，纸质档案移送、上架等全部归档工作。</w:t>
            </w:r>
          </w:p>
          <w:p>
            <w:pPr>
              <w:pStyle w:val="null3"/>
            </w:pPr>
            <w:r>
              <w:rPr>
                <w:sz w:val="20"/>
              </w:rPr>
              <w:t>（</w:t>
            </w:r>
            <w:r>
              <w:rPr>
                <w:sz w:val="20"/>
              </w:rPr>
              <w:t>2</w:t>
            </w:r>
            <w:r>
              <w:rPr>
                <w:sz w:val="20"/>
              </w:rPr>
              <w:t>）一键转档审核</w:t>
            </w:r>
          </w:p>
          <w:p>
            <w:pPr>
              <w:pStyle w:val="null3"/>
              <w:ind w:firstLine="400"/>
            </w:pPr>
            <w:r>
              <w:rPr>
                <w:sz w:val="20"/>
              </w:rPr>
              <w:t>办案人员在线提交无纸化归档后，供应商的归档岗服务人员应做好电子转档工作，转档完成后将转档结果回传给归档流程提交者进行审核。</w:t>
            </w:r>
          </w:p>
          <w:p>
            <w:pPr>
              <w:pStyle w:val="null3"/>
            </w:pPr>
            <w:r>
              <w:rPr>
                <w:sz w:val="20"/>
              </w:rPr>
              <w:t>（</w:t>
            </w:r>
            <w:r>
              <w:rPr>
                <w:sz w:val="20"/>
              </w:rPr>
              <w:t>3</w:t>
            </w:r>
            <w:r>
              <w:rPr>
                <w:sz w:val="20"/>
              </w:rPr>
              <w:t>）预归目服务</w:t>
            </w:r>
          </w:p>
          <w:p>
            <w:pPr>
              <w:pStyle w:val="null3"/>
              <w:ind w:firstLine="400"/>
            </w:pPr>
            <w:r>
              <w:rPr>
                <w:sz w:val="20"/>
              </w:rPr>
              <w:t>为解决转档工作量较大的问题，通过预归目系统将归目和转档工作前置到案件办理过程中，以保障归档目录挂接准确性，提升办案人员阅卷体验以及一键转档效率。</w:t>
            </w:r>
          </w:p>
          <w:p>
            <w:pPr>
              <w:pStyle w:val="null3"/>
            </w:pPr>
            <w:r>
              <w:rPr>
                <w:sz w:val="20"/>
              </w:rPr>
              <w:t>（</w:t>
            </w:r>
            <w:r>
              <w:rPr>
                <w:sz w:val="20"/>
              </w:rPr>
              <w:t>4</w:t>
            </w:r>
            <w:r>
              <w:rPr>
                <w:sz w:val="20"/>
              </w:rPr>
              <w:t>）电子档案要求</w:t>
            </w:r>
          </w:p>
          <w:p>
            <w:pPr>
              <w:pStyle w:val="null3"/>
              <w:ind w:firstLine="400"/>
            </w:pPr>
            <w:r>
              <w:rPr>
                <w:sz w:val="20"/>
              </w:rPr>
              <w:t>为确保电子卷宗转换效率和成功率，供应商应提供一套提高一键转档效率优化方案。</w:t>
            </w:r>
          </w:p>
          <w:p>
            <w:pPr>
              <w:pStyle w:val="null3"/>
            </w:pPr>
            <w:r>
              <w:rPr>
                <w:sz w:val="20"/>
              </w:rPr>
              <w:t>7.</w:t>
            </w:r>
            <w:r>
              <w:rPr>
                <w:sz w:val="20"/>
              </w:rPr>
              <w:t>无纸化办案基础性配套服务</w:t>
            </w:r>
          </w:p>
          <w:p>
            <w:pPr>
              <w:pStyle w:val="null3"/>
            </w:pPr>
            <w:r>
              <w:rPr>
                <w:sz w:val="20"/>
              </w:rPr>
              <w:t>（</w:t>
            </w:r>
            <w:r>
              <w:rPr>
                <w:sz w:val="20"/>
              </w:rPr>
              <w:t>1</w:t>
            </w:r>
            <w:r>
              <w:rPr>
                <w:sz w:val="20"/>
              </w:rPr>
              <w:t>）智能柜管理系统与电子卷宗系统对接融合</w:t>
            </w:r>
          </w:p>
          <w:p>
            <w:pPr>
              <w:pStyle w:val="null3"/>
              <w:ind w:firstLine="400"/>
            </w:pPr>
            <w:r>
              <w:rPr>
                <w:sz w:val="20"/>
              </w:rPr>
              <w:t>供应商的材料管理系统应与智能中间柜系统进行对接。应保障智能中间柜系统能够识别纸质卷宗材料经电子卷宗系统生成的二维码，能进行存取流转工作，且电子卷宗系统能够展示案件纸质卷宗材料基本信息和状态属性。相关对接和开发费用已包含在项目报价中，采购人不另行支付费用。</w:t>
            </w:r>
          </w:p>
          <w:p>
            <w:pPr>
              <w:pStyle w:val="null3"/>
            </w:pPr>
            <w:r>
              <w:rPr>
                <w:sz w:val="20"/>
              </w:rPr>
              <w:t>（</w:t>
            </w:r>
            <w:r>
              <w:rPr>
                <w:sz w:val="20"/>
              </w:rPr>
              <w:t>2</w:t>
            </w:r>
            <w:r>
              <w:rPr>
                <w:sz w:val="20"/>
              </w:rPr>
              <w:t>）提供司法辅助事务数据可视化展示平台服务</w:t>
            </w:r>
          </w:p>
          <w:p>
            <w:pPr>
              <w:pStyle w:val="null3"/>
              <w:ind w:firstLine="400"/>
            </w:pPr>
            <w:r>
              <w:rPr>
                <w:sz w:val="20"/>
              </w:rPr>
              <w:t>供应商应提供包含电子卷宗随案同步生成各环节数据的数据展示服务，展示内容包括但不限于收案数、中间库存案数、结案数、归档数、扫描页数、编目页数的当日及历史统计数据。（供应商需提供相关数据可视化展示页面截图）</w:t>
            </w:r>
          </w:p>
          <w:p>
            <w:pPr>
              <w:pStyle w:val="null3"/>
            </w:pPr>
            <w:r>
              <w:rPr>
                <w:sz w:val="20"/>
                <w:b/>
              </w:rPr>
              <w:t>（二）档案图文数字化服务</w:t>
            </w:r>
          </w:p>
          <w:p>
            <w:pPr>
              <w:pStyle w:val="null3"/>
              <w:ind w:firstLine="400"/>
            </w:pPr>
            <w:r>
              <w:rPr>
                <w:sz w:val="20"/>
              </w:rPr>
              <w:t>人员配置：接收</w:t>
            </w:r>
            <w:r>
              <w:rPr>
                <w:sz w:val="20"/>
              </w:rPr>
              <w:t xml:space="preserve">1 </w:t>
            </w:r>
            <w:r>
              <w:rPr>
                <w:sz w:val="20"/>
              </w:rPr>
              <w:t>人、整理</w:t>
            </w:r>
            <w:r>
              <w:rPr>
                <w:sz w:val="20"/>
              </w:rPr>
              <w:t xml:space="preserve">2 </w:t>
            </w:r>
            <w:r>
              <w:rPr>
                <w:sz w:val="20"/>
              </w:rPr>
              <w:t>人、扫描</w:t>
            </w:r>
            <w:r>
              <w:rPr>
                <w:sz w:val="20"/>
              </w:rPr>
              <w:t xml:space="preserve">1 </w:t>
            </w:r>
            <w:r>
              <w:rPr>
                <w:sz w:val="20"/>
              </w:rPr>
              <w:t>人、图像处理</w:t>
            </w:r>
            <w:r>
              <w:rPr>
                <w:sz w:val="20"/>
              </w:rPr>
              <w:t xml:space="preserve">1 </w:t>
            </w:r>
            <w:r>
              <w:rPr>
                <w:sz w:val="20"/>
              </w:rPr>
              <w:t>人、著录、挂接、上传</w:t>
            </w:r>
            <w:r>
              <w:rPr>
                <w:sz w:val="20"/>
              </w:rPr>
              <w:t xml:space="preserve">1 </w:t>
            </w:r>
            <w:r>
              <w:rPr>
                <w:sz w:val="20"/>
              </w:rPr>
              <w:t>人、质检</w:t>
            </w:r>
            <w:r>
              <w:rPr>
                <w:sz w:val="20"/>
              </w:rPr>
              <w:t xml:space="preserve">1 </w:t>
            </w:r>
            <w:r>
              <w:rPr>
                <w:sz w:val="20"/>
              </w:rPr>
              <w:t>人。人员配置可根据实际情况调动。</w:t>
            </w:r>
          </w:p>
          <w:p>
            <w:pPr>
              <w:pStyle w:val="null3"/>
            </w:pPr>
            <w:r>
              <w:rPr>
                <w:sz w:val="20"/>
              </w:rPr>
              <w:t>1.</w:t>
            </w:r>
            <w:r>
              <w:rPr>
                <w:sz w:val="20"/>
              </w:rPr>
              <w:t>档案接收领取</w:t>
            </w:r>
          </w:p>
          <w:p>
            <w:pPr>
              <w:pStyle w:val="null3"/>
              <w:ind w:firstLine="400"/>
            </w:pPr>
            <w:r>
              <w:rPr>
                <w:sz w:val="20"/>
              </w:rPr>
              <w:t>（</w:t>
            </w:r>
            <w:r>
              <w:rPr>
                <w:sz w:val="20"/>
              </w:rPr>
              <w:t>1</w:t>
            </w:r>
            <w:r>
              <w:rPr>
                <w:sz w:val="20"/>
              </w:rPr>
              <w:t>）供应商需遵循采购人档案管理部门的相关规定流程接收档案，确保档案管理部门能合理安排接收工作。</w:t>
            </w:r>
          </w:p>
          <w:p>
            <w:pPr>
              <w:pStyle w:val="null3"/>
              <w:ind w:firstLine="400"/>
            </w:pPr>
            <w:r>
              <w:rPr>
                <w:sz w:val="20"/>
              </w:rPr>
              <w:t>（</w:t>
            </w:r>
            <w:r>
              <w:rPr>
                <w:sz w:val="20"/>
              </w:rPr>
              <w:t>2</w:t>
            </w:r>
            <w:r>
              <w:rPr>
                <w:sz w:val="20"/>
              </w:rPr>
              <w:t>）档案接收领取时由供应商、采购人双方工作人员当面对档案数量进行逐份清点，并在《档案交接清单》上签字确认。按时按质按量完成业务档案扫描加工工作，自档案接收到档案处理完毕，须保证档案的安全和完整性。</w:t>
            </w:r>
          </w:p>
          <w:p>
            <w:pPr>
              <w:pStyle w:val="null3"/>
            </w:pPr>
            <w:r>
              <w:rPr>
                <w:sz w:val="20"/>
              </w:rPr>
              <w:t>2.</w:t>
            </w:r>
            <w:r>
              <w:rPr>
                <w:sz w:val="20"/>
              </w:rPr>
              <w:t>档案整理</w:t>
            </w:r>
          </w:p>
          <w:p>
            <w:pPr>
              <w:pStyle w:val="null3"/>
              <w:ind w:firstLine="400"/>
            </w:pPr>
            <w:r>
              <w:rPr>
                <w:sz w:val="20"/>
              </w:rPr>
              <w:t>工作人员需对未进行随案流程的档案进行纸质整理。包括以下内容：</w:t>
            </w:r>
          </w:p>
          <w:p>
            <w:pPr>
              <w:pStyle w:val="null3"/>
              <w:ind w:firstLine="400"/>
            </w:pPr>
            <w:r>
              <w:rPr>
                <w:sz w:val="20"/>
              </w:rPr>
              <w:t>（</w:t>
            </w:r>
            <w:r>
              <w:rPr>
                <w:sz w:val="20"/>
              </w:rPr>
              <w:t>1</w:t>
            </w:r>
            <w:r>
              <w:rPr>
                <w:sz w:val="20"/>
              </w:rPr>
              <w:t>）材料检查：档案材料是否齐全完整，材料是否符合规范，非入卷的材料和多余的材料作退回处理。</w:t>
            </w:r>
          </w:p>
          <w:p>
            <w:pPr>
              <w:pStyle w:val="null3"/>
              <w:ind w:firstLine="400"/>
            </w:pPr>
            <w:r>
              <w:rPr>
                <w:sz w:val="20"/>
              </w:rPr>
              <w:t>（</w:t>
            </w:r>
            <w:r>
              <w:rPr>
                <w:sz w:val="20"/>
              </w:rPr>
              <w:t>2</w:t>
            </w:r>
            <w:r>
              <w:rPr>
                <w:sz w:val="20"/>
              </w:rPr>
              <w:t>）档案材料是否手续完备：检查档案材料是否办理完毕的，如单位盖章、签名等。对档案材料不完善的，需逐项标注提示补充。</w:t>
            </w:r>
          </w:p>
          <w:p>
            <w:pPr>
              <w:pStyle w:val="null3"/>
              <w:ind w:firstLine="400"/>
            </w:pPr>
            <w:r>
              <w:rPr>
                <w:sz w:val="20"/>
              </w:rPr>
              <w:t>（</w:t>
            </w:r>
            <w:r>
              <w:rPr>
                <w:sz w:val="20"/>
              </w:rPr>
              <w:t>3</w:t>
            </w:r>
            <w:r>
              <w:rPr>
                <w:sz w:val="20"/>
              </w:rPr>
              <w:t>）按《立卷规范》进行立卷：票据材料规范粘贴，特殊材料按要求复印、包装入档，图纸按规范折叠等。</w:t>
            </w:r>
          </w:p>
          <w:p>
            <w:pPr>
              <w:pStyle w:val="null3"/>
              <w:ind w:firstLine="400"/>
            </w:pPr>
            <w:r>
              <w:rPr>
                <w:sz w:val="20"/>
              </w:rPr>
              <w:t>（</w:t>
            </w:r>
            <w:r>
              <w:rPr>
                <w:sz w:val="20"/>
              </w:rPr>
              <w:t>4</w:t>
            </w:r>
            <w:r>
              <w:rPr>
                <w:sz w:val="20"/>
              </w:rPr>
              <w:t>）材料经系统整理后逐页进行编写页码，从档案正文内容第一页起编写页码每册按次序从</w:t>
            </w:r>
            <w:r>
              <w:rPr>
                <w:sz w:val="20"/>
              </w:rPr>
              <w:t xml:space="preserve">1 </w:t>
            </w:r>
            <w:r>
              <w:rPr>
                <w:sz w:val="20"/>
              </w:rPr>
              <w:t>开始连续编号，避免出现重号、跳号和错号等情况，空白的页面不编页号。</w:t>
            </w:r>
          </w:p>
          <w:p>
            <w:pPr>
              <w:pStyle w:val="null3"/>
              <w:ind w:firstLine="400"/>
            </w:pPr>
            <w:r>
              <w:rPr>
                <w:sz w:val="20"/>
              </w:rPr>
              <w:t>（</w:t>
            </w:r>
            <w:r>
              <w:rPr>
                <w:sz w:val="20"/>
              </w:rPr>
              <w:t>5</w:t>
            </w:r>
            <w:r>
              <w:rPr>
                <w:sz w:val="20"/>
              </w:rPr>
              <w:t>）编写正、副卷目录号码，认真检查案件的正、副卷材料，不得出现正、副卷内容混淆错乱的情况。</w:t>
            </w:r>
          </w:p>
          <w:p>
            <w:pPr>
              <w:pStyle w:val="null3"/>
              <w:ind w:firstLine="400"/>
            </w:pPr>
            <w:r>
              <w:rPr>
                <w:sz w:val="20"/>
              </w:rPr>
              <w:t>（</w:t>
            </w:r>
            <w:r>
              <w:rPr>
                <w:sz w:val="20"/>
              </w:rPr>
              <w:t>6</w:t>
            </w:r>
            <w:r>
              <w:rPr>
                <w:sz w:val="20"/>
              </w:rPr>
              <w:t>）档案的后补材料：对档案进行材料补充，按规范编写页码。</w:t>
            </w:r>
          </w:p>
          <w:p>
            <w:pPr>
              <w:pStyle w:val="null3"/>
              <w:ind w:firstLine="400"/>
            </w:pPr>
            <w:r>
              <w:rPr>
                <w:sz w:val="20"/>
              </w:rPr>
              <w:t>（</w:t>
            </w:r>
            <w:r>
              <w:rPr>
                <w:sz w:val="20"/>
              </w:rPr>
              <w:t>7</w:t>
            </w:r>
            <w:r>
              <w:rPr>
                <w:sz w:val="20"/>
              </w:rPr>
              <w:t>）材料齐全整理完成的卷宗送给法官助理和法官检查，签名后让法官助理提交归档并打印一式两份《归档清单》，送到档案室归档。</w:t>
            </w:r>
          </w:p>
          <w:p>
            <w:pPr>
              <w:pStyle w:val="null3"/>
              <w:ind w:firstLine="400"/>
            </w:pPr>
            <w:r>
              <w:rPr>
                <w:sz w:val="20"/>
              </w:rPr>
              <w:t>（</w:t>
            </w:r>
            <w:r>
              <w:rPr>
                <w:sz w:val="20"/>
              </w:rPr>
              <w:t>8</w:t>
            </w:r>
            <w:r>
              <w:rPr>
                <w:sz w:val="20"/>
              </w:rPr>
              <w:t>）归档签收后的《归档清单》归还对应书记员自行保管。</w:t>
            </w:r>
          </w:p>
          <w:p>
            <w:pPr>
              <w:pStyle w:val="null3"/>
            </w:pPr>
            <w:r>
              <w:rPr>
                <w:sz w:val="20"/>
              </w:rPr>
              <w:t>3.</w:t>
            </w:r>
            <w:r>
              <w:rPr>
                <w:sz w:val="20"/>
              </w:rPr>
              <w:t>档案扫描前整理</w:t>
            </w:r>
          </w:p>
          <w:p>
            <w:pPr>
              <w:pStyle w:val="null3"/>
              <w:ind w:firstLine="400"/>
            </w:pPr>
            <w:r>
              <w:rPr>
                <w:sz w:val="20"/>
              </w:rPr>
              <w:t>扫描前需对实物进行清点。纸质档案拆除装订物时注意保护档案不受损害，档案扫描前整理工作按照《中山市中级人民法院诉讼文书材料立卷归档规范》等管理规范和要求，完成纸质档案的规范化，主要工作内容包括对档案的完整性进行检查，对排列顺序不准确的档案进行重排，对需要粘贴修整的材料进行处理，对于已装订入库的档案，需先拆除装订线，再进行粘贴修正等规范化处理。</w:t>
            </w:r>
          </w:p>
          <w:p>
            <w:pPr>
              <w:pStyle w:val="null3"/>
            </w:pPr>
            <w:r>
              <w:rPr>
                <w:sz w:val="20"/>
              </w:rPr>
              <w:t>（</w:t>
            </w:r>
            <w:r>
              <w:rPr>
                <w:sz w:val="20"/>
              </w:rPr>
              <w:t>1</w:t>
            </w:r>
            <w:r>
              <w:rPr>
                <w:sz w:val="20"/>
              </w:rPr>
              <w:t>）跳页码，有文件材料的，直接补页码；</w:t>
            </w:r>
          </w:p>
          <w:p>
            <w:pPr>
              <w:pStyle w:val="null3"/>
            </w:pPr>
            <w:r>
              <w:rPr>
                <w:sz w:val="20"/>
              </w:rPr>
              <w:t>（</w:t>
            </w:r>
            <w:r>
              <w:rPr>
                <w:sz w:val="20"/>
              </w:rPr>
              <w:t>2</w:t>
            </w:r>
            <w:r>
              <w:rPr>
                <w:sz w:val="20"/>
              </w:rPr>
              <w:t>）漏编页码，漏编页作为前页的附页，以横杠标示；</w:t>
            </w:r>
          </w:p>
          <w:p>
            <w:pPr>
              <w:pStyle w:val="null3"/>
            </w:pPr>
            <w:r>
              <w:rPr>
                <w:sz w:val="20"/>
              </w:rPr>
              <w:t>（</w:t>
            </w:r>
            <w:r>
              <w:rPr>
                <w:sz w:val="20"/>
              </w:rPr>
              <w:t>3</w:t>
            </w:r>
            <w:r>
              <w:rPr>
                <w:sz w:val="20"/>
              </w:rPr>
              <w:t>）最后一条目录未编页码的，直接在目录上补页码；</w:t>
            </w:r>
          </w:p>
          <w:p>
            <w:pPr>
              <w:pStyle w:val="null3"/>
            </w:pPr>
            <w:r>
              <w:rPr>
                <w:sz w:val="20"/>
              </w:rPr>
              <w:t>（</w:t>
            </w:r>
            <w:r>
              <w:rPr>
                <w:sz w:val="20"/>
              </w:rPr>
              <w:t>4</w:t>
            </w:r>
            <w:r>
              <w:rPr>
                <w:sz w:val="20"/>
              </w:rPr>
              <w:t>）应对没有页号或页号不正确的档案重新编制页号；</w:t>
            </w:r>
          </w:p>
          <w:p>
            <w:pPr>
              <w:pStyle w:val="null3"/>
            </w:pPr>
            <w:r>
              <w:rPr>
                <w:sz w:val="20"/>
              </w:rPr>
              <w:t>（</w:t>
            </w:r>
            <w:r>
              <w:rPr>
                <w:sz w:val="20"/>
              </w:rPr>
              <w:t>5</w:t>
            </w:r>
            <w:r>
              <w:rPr>
                <w:sz w:val="20"/>
              </w:rPr>
              <w:t>）前后页码重复编号，将后页改为前页的附页，以横杠标示；</w:t>
            </w:r>
          </w:p>
          <w:p>
            <w:pPr>
              <w:pStyle w:val="null3"/>
            </w:pPr>
            <w:r>
              <w:rPr>
                <w:sz w:val="20"/>
              </w:rPr>
              <w:t>（</w:t>
            </w:r>
            <w:r>
              <w:rPr>
                <w:sz w:val="20"/>
              </w:rPr>
              <w:t>6</w:t>
            </w:r>
            <w:r>
              <w:rPr>
                <w:sz w:val="20"/>
              </w:rPr>
              <w:t>）折叠页编号的，作为本页的附页，以横杠标示；</w:t>
            </w:r>
          </w:p>
          <w:p>
            <w:pPr>
              <w:pStyle w:val="null3"/>
            </w:pPr>
            <w:r>
              <w:rPr>
                <w:sz w:val="20"/>
              </w:rPr>
              <w:t>（</w:t>
            </w:r>
            <w:r>
              <w:rPr>
                <w:sz w:val="20"/>
              </w:rPr>
              <w:t>7</w:t>
            </w:r>
            <w:r>
              <w:rPr>
                <w:sz w:val="20"/>
              </w:rPr>
              <w:t>）重新编制页号时，应在统一位置书写页号，且不压盖档案内容；</w:t>
            </w:r>
          </w:p>
          <w:p>
            <w:pPr>
              <w:pStyle w:val="null3"/>
            </w:pPr>
            <w:r>
              <w:rPr>
                <w:sz w:val="20"/>
              </w:rPr>
              <w:t>（</w:t>
            </w:r>
            <w:r>
              <w:rPr>
                <w:sz w:val="20"/>
              </w:rPr>
              <w:t>8</w:t>
            </w:r>
            <w:r>
              <w:rPr>
                <w:sz w:val="20"/>
              </w:rPr>
              <w:t>）褶皱不平影响扫描质量的纸质档案应先进行压平等相应处理；</w:t>
            </w:r>
          </w:p>
          <w:p>
            <w:pPr>
              <w:pStyle w:val="null3"/>
            </w:pPr>
            <w:r>
              <w:rPr>
                <w:sz w:val="20"/>
              </w:rPr>
              <w:t>（</w:t>
            </w:r>
            <w:r>
              <w:rPr>
                <w:sz w:val="20"/>
              </w:rPr>
              <w:t>9</w:t>
            </w:r>
            <w:r>
              <w:rPr>
                <w:sz w:val="20"/>
              </w:rPr>
              <w:t>）纸张破损的，保持原貌进行扫描，破损严重的，报档案管理部门审定；</w:t>
            </w:r>
          </w:p>
          <w:p>
            <w:pPr>
              <w:pStyle w:val="null3"/>
            </w:pPr>
            <w:r>
              <w:rPr>
                <w:sz w:val="20"/>
              </w:rPr>
              <w:t>（</w:t>
            </w:r>
            <w:r>
              <w:rPr>
                <w:sz w:val="20"/>
              </w:rPr>
              <w:t>10</w:t>
            </w:r>
            <w:r>
              <w:rPr>
                <w:sz w:val="20"/>
              </w:rPr>
              <w:t>）档案整理工作完成后，还应对档案整理工作进行质量检查，整理质量检查的目的是确保档案整理工作符合相关规范要求。不符合要求的档案需记录并退回重整，合格后方可进入下一道工序。</w:t>
            </w:r>
          </w:p>
          <w:p>
            <w:pPr>
              <w:pStyle w:val="null3"/>
            </w:pPr>
            <w:r>
              <w:rPr>
                <w:sz w:val="20"/>
              </w:rPr>
              <w:t>4.</w:t>
            </w:r>
            <w:r>
              <w:rPr>
                <w:sz w:val="20"/>
              </w:rPr>
              <w:t>档案封面打印</w:t>
            </w:r>
          </w:p>
          <w:p>
            <w:pPr>
              <w:pStyle w:val="null3"/>
              <w:ind w:firstLine="400"/>
            </w:pPr>
            <w:r>
              <w:rPr>
                <w:sz w:val="20"/>
              </w:rPr>
              <w:t>档案封面内容应以系统自动生成为主，确保内容的完整性。在打印前，需根据案件正卷内结案文书进行核对和修改，确保案件当事人、案号、案卷号等关键信息准确无误。打印时，应遵循档案管理规范，确保封面格式、字体、信息布局和色彩搭配符合要求，以达到整齐、美观的效果。具体要求如下：</w:t>
            </w:r>
          </w:p>
          <w:p>
            <w:pPr>
              <w:pStyle w:val="null3"/>
              <w:ind w:firstLine="400"/>
            </w:pPr>
            <w:r>
              <w:rPr>
                <w:sz w:val="20"/>
              </w:rPr>
              <w:t>（</w:t>
            </w:r>
            <w:r>
              <w:rPr>
                <w:sz w:val="20"/>
              </w:rPr>
              <w:t>1</w:t>
            </w:r>
            <w:r>
              <w:rPr>
                <w:sz w:val="20"/>
              </w:rPr>
              <w:t>）民事、刑事、执行案件需按照审判过程中形成的最终结案文书为准，根据文书增加、删除、修改人员信息，确保档案封面内容正确无误。</w:t>
            </w:r>
          </w:p>
          <w:p>
            <w:pPr>
              <w:pStyle w:val="null3"/>
              <w:ind w:firstLine="400"/>
            </w:pPr>
            <w:r>
              <w:rPr>
                <w:sz w:val="20"/>
              </w:rPr>
              <w:t>（</w:t>
            </w:r>
            <w:r>
              <w:rPr>
                <w:sz w:val="20"/>
              </w:rPr>
              <w:t>2</w:t>
            </w:r>
            <w:r>
              <w:rPr>
                <w:sz w:val="20"/>
              </w:rPr>
              <w:t>）刑事案件需要在封面增加公安卷册数，根据档案原件的档案袋或归档清单上的备注，在左下角注明与某案号关联。</w:t>
            </w:r>
          </w:p>
          <w:p>
            <w:pPr>
              <w:pStyle w:val="null3"/>
              <w:ind w:firstLine="400"/>
            </w:pPr>
            <w:r>
              <w:rPr>
                <w:sz w:val="20"/>
              </w:rPr>
              <w:t>（</w:t>
            </w:r>
            <w:r>
              <w:rPr>
                <w:sz w:val="20"/>
              </w:rPr>
              <w:t>3</w:t>
            </w:r>
            <w:r>
              <w:rPr>
                <w:sz w:val="20"/>
              </w:rPr>
              <w:t>）根据档案原件填写封面册数，根据目录最后一项填写封面页数。</w:t>
            </w:r>
          </w:p>
          <w:p>
            <w:pPr>
              <w:pStyle w:val="null3"/>
            </w:pPr>
            <w:r>
              <w:rPr>
                <w:sz w:val="20"/>
              </w:rPr>
              <w:t>5.</w:t>
            </w:r>
            <w:r>
              <w:rPr>
                <w:sz w:val="20"/>
              </w:rPr>
              <w:t>档案著录</w:t>
            </w:r>
          </w:p>
          <w:p>
            <w:pPr>
              <w:pStyle w:val="null3"/>
              <w:ind w:firstLine="400"/>
            </w:pPr>
            <w:r>
              <w:rPr>
                <w:sz w:val="20"/>
              </w:rPr>
              <w:t>在档案扫描工作开始前应首先将档案以卷为单位进行著录，著录的主要信息包括：批次号、年份、类别、案号、案由、当事人信息、审判人员、审判结果、归档日期、卷数等相关信息。</w:t>
            </w:r>
          </w:p>
          <w:p>
            <w:pPr>
              <w:pStyle w:val="null3"/>
            </w:pPr>
            <w:r>
              <w:rPr>
                <w:sz w:val="20"/>
              </w:rPr>
              <w:t>6.</w:t>
            </w:r>
            <w:r>
              <w:rPr>
                <w:sz w:val="20"/>
              </w:rPr>
              <w:t>档案扫描</w:t>
            </w:r>
          </w:p>
          <w:p>
            <w:pPr>
              <w:pStyle w:val="null3"/>
              <w:ind w:firstLine="400"/>
            </w:pPr>
            <w:r>
              <w:rPr>
                <w:sz w:val="20"/>
              </w:rPr>
              <w:t>（</w:t>
            </w:r>
            <w:r>
              <w:rPr>
                <w:sz w:val="20"/>
              </w:rPr>
              <w:t>1</w:t>
            </w:r>
            <w:r>
              <w:rPr>
                <w:sz w:val="20"/>
              </w:rPr>
              <w:t>）对于发票或其他各类不同证据材料，需用不同分辨率或者扫描方法进行扫描。</w:t>
            </w:r>
          </w:p>
          <w:p>
            <w:pPr>
              <w:pStyle w:val="null3"/>
              <w:ind w:firstLine="400"/>
            </w:pPr>
            <w:r>
              <w:rPr>
                <w:sz w:val="20"/>
              </w:rPr>
              <w:t>（</w:t>
            </w:r>
            <w:r>
              <w:rPr>
                <w:sz w:val="20"/>
              </w:rPr>
              <w:t>2</w:t>
            </w:r>
            <w:r>
              <w:rPr>
                <w:sz w:val="20"/>
              </w:rPr>
              <w:t>）档案影像扫描：图形格式采用</w:t>
            </w:r>
            <w:r>
              <w:rPr>
                <w:sz w:val="20"/>
              </w:rPr>
              <w:t xml:space="preserve">JPG </w:t>
            </w:r>
            <w:r>
              <w:rPr>
                <w:sz w:val="20"/>
              </w:rPr>
              <w:t>格式，档案页面扫描的分辨率为</w:t>
            </w:r>
            <w:r>
              <w:rPr>
                <w:sz w:val="20"/>
              </w:rPr>
              <w:t>300*300dpi</w:t>
            </w:r>
            <w:r>
              <w:rPr>
                <w:sz w:val="20"/>
              </w:rPr>
              <w:t>，档案原件模糊不清楚的，可适当调高分辨率来扫描，确保图像扫描质量。最大限度保留档案原件信息，便于多种方式的利用。宜全部采用彩色模式进行扫描，要求扫描图像完整、效果清晰、无黑边，页面清晰度与档案原件基本保持一致，扫描时，需确保页面以档案纸张轮廓为准，且倾斜度不超过十度。</w:t>
            </w:r>
          </w:p>
          <w:p>
            <w:pPr>
              <w:pStyle w:val="null3"/>
              <w:ind w:firstLine="400"/>
            </w:pPr>
            <w:r>
              <w:rPr>
                <w:sz w:val="20"/>
              </w:rPr>
              <w:t>（</w:t>
            </w:r>
            <w:r>
              <w:rPr>
                <w:sz w:val="20"/>
              </w:rPr>
              <w:t>3</w:t>
            </w:r>
            <w:r>
              <w:rPr>
                <w:sz w:val="20"/>
              </w:rPr>
              <w:t>）对不符合阅读方向的数字图像应进行旋转还原。对出现偏斜的图像应进行纠偏处理，以达到视觉上基本不感觉偏斜为准；如需对数字图像进行去污处理，以去除在扫描过程中产生的污点、污线、黑边等影响图像质量的杂质，应遵循展现档案原貌的原则，处理过程中不得去除档案页面原有的纸张褪变斑点、水渍、污点、装订孔等痕迹。</w:t>
            </w:r>
          </w:p>
          <w:p>
            <w:pPr>
              <w:pStyle w:val="null3"/>
              <w:ind w:firstLine="400"/>
            </w:pPr>
            <w:r>
              <w:rPr>
                <w:sz w:val="20"/>
              </w:rPr>
              <w:t>（</w:t>
            </w:r>
            <w:r>
              <w:rPr>
                <w:sz w:val="20"/>
              </w:rPr>
              <w:t>4</w:t>
            </w:r>
            <w:r>
              <w:rPr>
                <w:sz w:val="20"/>
              </w:rPr>
              <w:t>）供应商需自带档案数字化加工软件，该软件实现功能要符合加工要求，能够有效处理扫描过程中产生的黑边、污点，去底色，加深，不影响页码的调整角度，翻转至正视内容方向。</w:t>
            </w:r>
          </w:p>
          <w:p>
            <w:pPr>
              <w:pStyle w:val="null3"/>
              <w:ind w:firstLine="400"/>
            </w:pPr>
            <w:r>
              <w:rPr>
                <w:sz w:val="20"/>
              </w:rPr>
              <w:t>档案数字化加工软件还须具有但不限于以下功能：</w:t>
            </w:r>
          </w:p>
          <w:p>
            <w:pPr>
              <w:pStyle w:val="null3"/>
              <w:ind w:firstLine="400"/>
            </w:pPr>
            <w:r>
              <w:rPr>
                <w:sz w:val="20"/>
              </w:rPr>
              <w:t>a.</w:t>
            </w:r>
            <w:r>
              <w:rPr>
                <w:sz w:val="20"/>
              </w:rPr>
              <w:t>项目总进度监测功能：查看项目排产，项目总进度，各个工序汇总产量情况，预警功能；</w:t>
            </w:r>
          </w:p>
          <w:p>
            <w:pPr>
              <w:pStyle w:val="null3"/>
              <w:ind w:firstLine="400"/>
            </w:pPr>
            <w:r>
              <w:rPr>
                <w:sz w:val="20"/>
              </w:rPr>
              <w:t>b.</w:t>
            </w:r>
            <w:r>
              <w:rPr>
                <w:sz w:val="20"/>
              </w:rPr>
              <w:t>流程追溯监控功能：可对一批次和一份档案进行实时、可视化的流程跟踪，了解该批次档案的实时加工进度及产能，以及每个加工步骤的实时经办人员情况；</w:t>
            </w:r>
          </w:p>
          <w:p>
            <w:pPr>
              <w:pStyle w:val="null3"/>
              <w:ind w:firstLine="400"/>
            </w:pPr>
            <w:r>
              <w:rPr>
                <w:sz w:val="20"/>
              </w:rPr>
              <w:t>c.</w:t>
            </w:r>
            <w:r>
              <w:rPr>
                <w:sz w:val="20"/>
              </w:rPr>
              <w:t>档案著录</w:t>
            </w:r>
            <w:r>
              <w:rPr>
                <w:sz w:val="20"/>
              </w:rPr>
              <w:t>OCR</w:t>
            </w:r>
            <w:r>
              <w:rPr>
                <w:sz w:val="20"/>
              </w:rPr>
              <w:t>功能：数字化加工系统集成智能</w:t>
            </w:r>
            <w:r>
              <w:rPr>
                <w:sz w:val="20"/>
              </w:rPr>
              <w:t>OCR</w:t>
            </w:r>
            <w:r>
              <w:rPr>
                <w:sz w:val="20"/>
              </w:rPr>
              <w:t>图文识别功能</w:t>
            </w:r>
            <w:r>
              <w:rPr>
                <w:sz w:val="20"/>
              </w:rPr>
              <w:t>,</w:t>
            </w:r>
            <w:r>
              <w:rPr>
                <w:sz w:val="20"/>
              </w:rPr>
              <w:t>支持设置识别模板，实现快速著录；</w:t>
            </w:r>
          </w:p>
          <w:p>
            <w:pPr>
              <w:pStyle w:val="null3"/>
              <w:ind w:firstLine="400"/>
            </w:pPr>
            <w:r>
              <w:rPr>
                <w:sz w:val="20"/>
              </w:rPr>
              <w:t>d.</w:t>
            </w:r>
            <w:r>
              <w:rPr>
                <w:sz w:val="20"/>
              </w:rPr>
              <w:t>质检管理功能：具备可配置的质检项、提供质量反馈机制：可以针对每页扫描件添加质检意见、打印质检报表、批次在线回退；</w:t>
            </w:r>
          </w:p>
          <w:p>
            <w:pPr>
              <w:pStyle w:val="null3"/>
              <w:ind w:firstLine="400"/>
            </w:pPr>
            <w:r>
              <w:rPr>
                <w:sz w:val="20"/>
              </w:rPr>
              <w:t>e.</w:t>
            </w:r>
            <w:r>
              <w:rPr>
                <w:sz w:val="20"/>
              </w:rPr>
              <w:t>报表统计功能：灵活的报表配置，实现工作量日、周、月、年统计报表、幅面统计报表等。</w:t>
            </w:r>
          </w:p>
          <w:p>
            <w:pPr>
              <w:pStyle w:val="null3"/>
            </w:pPr>
            <w:r>
              <w:rPr>
                <w:sz w:val="20"/>
              </w:rPr>
              <w:t>7.</w:t>
            </w:r>
            <w:r>
              <w:rPr>
                <w:sz w:val="20"/>
              </w:rPr>
              <w:t>图处、编目、</w:t>
            </w:r>
            <w:r>
              <w:rPr>
                <w:sz w:val="20"/>
              </w:rPr>
              <w:t xml:space="preserve">PDF </w:t>
            </w:r>
            <w:r>
              <w:rPr>
                <w:sz w:val="20"/>
              </w:rPr>
              <w:t>处理</w:t>
            </w:r>
          </w:p>
          <w:p>
            <w:pPr>
              <w:pStyle w:val="null3"/>
              <w:ind w:firstLine="400"/>
            </w:pPr>
            <w:r>
              <w:rPr>
                <w:sz w:val="20"/>
              </w:rPr>
              <w:t>（</w:t>
            </w:r>
            <w:r>
              <w:rPr>
                <w:sz w:val="20"/>
              </w:rPr>
              <w:t>1</w:t>
            </w:r>
            <w:r>
              <w:rPr>
                <w:sz w:val="20"/>
              </w:rPr>
              <w:t>）根据原始纸张档案卷上的目录、档案号、案卷号与图像进行关联，调整图像的页序并对图像的质量（去黑边、去黑点等）进行处理，确保扫描图形完整、效果清晰，无信息丢失，无黑边，页面清晰度与档案纸张原件基本保持一致。</w:t>
            </w:r>
          </w:p>
          <w:p>
            <w:pPr>
              <w:pStyle w:val="null3"/>
              <w:ind w:firstLine="400"/>
            </w:pPr>
            <w:r>
              <w:rPr>
                <w:sz w:val="20"/>
              </w:rPr>
              <w:t>（</w:t>
            </w:r>
            <w:r>
              <w:rPr>
                <w:sz w:val="20"/>
              </w:rPr>
              <w:t>2</w:t>
            </w:r>
            <w:r>
              <w:rPr>
                <w:sz w:val="20"/>
              </w:rPr>
              <w:t>）图处后的图片再进行检查，检查无误提交至编目，编目时在系统选择案件相对应的电子目录，根据纸质档案原件目录在系统上填写对应页号，要求电子档案案卷编目与纸质原件目录内容和页码一致。</w:t>
            </w:r>
          </w:p>
          <w:p>
            <w:pPr>
              <w:pStyle w:val="null3"/>
              <w:ind w:firstLine="400"/>
            </w:pPr>
            <w:r>
              <w:rPr>
                <w:sz w:val="20"/>
              </w:rPr>
              <w:t>（</w:t>
            </w:r>
            <w:r>
              <w:rPr>
                <w:sz w:val="20"/>
              </w:rPr>
              <w:t>3</w:t>
            </w:r>
            <w:r>
              <w:rPr>
                <w:sz w:val="20"/>
              </w:rPr>
              <w:t>）编目完成后，需按照档案的装订顺序和档案目录，将每份档案合并为一个多页的</w:t>
            </w:r>
            <w:r>
              <w:rPr>
                <w:sz w:val="20"/>
              </w:rPr>
              <w:t xml:space="preserve">PDF </w:t>
            </w:r>
            <w:r>
              <w:rPr>
                <w:sz w:val="20"/>
              </w:rPr>
              <w:t>文件，并提交。</w:t>
            </w:r>
          </w:p>
          <w:p>
            <w:pPr>
              <w:pStyle w:val="null3"/>
              <w:ind w:firstLine="400"/>
            </w:pPr>
            <w:r>
              <w:rPr>
                <w:sz w:val="20"/>
              </w:rPr>
              <w:t>（</w:t>
            </w:r>
            <w:r>
              <w:rPr>
                <w:sz w:val="20"/>
              </w:rPr>
              <w:t>4</w:t>
            </w:r>
            <w:r>
              <w:rPr>
                <w:sz w:val="20"/>
              </w:rPr>
              <w:t>）要求如下：确保原始纸质档案的档案号、案卷号、目录与电子档案图像正确关联，排序和归类准确无误；同时，纸质档案与电子档案的页数、内容排序需保持一致。</w:t>
            </w:r>
          </w:p>
          <w:p>
            <w:pPr>
              <w:pStyle w:val="null3"/>
            </w:pPr>
            <w:r>
              <w:rPr>
                <w:sz w:val="20"/>
              </w:rPr>
              <w:t>8.</w:t>
            </w:r>
            <w:r>
              <w:rPr>
                <w:sz w:val="20"/>
              </w:rPr>
              <w:t>图文质量检查</w:t>
            </w:r>
          </w:p>
          <w:p>
            <w:pPr>
              <w:pStyle w:val="null3"/>
              <w:ind w:firstLine="400"/>
            </w:pPr>
            <w:r>
              <w:rPr>
                <w:sz w:val="20"/>
              </w:rPr>
              <w:t>供应商安排专人对形成</w:t>
            </w:r>
            <w:r>
              <w:rPr>
                <w:sz w:val="20"/>
              </w:rPr>
              <w:t xml:space="preserve">PDF </w:t>
            </w:r>
            <w:r>
              <w:rPr>
                <w:sz w:val="20"/>
              </w:rPr>
              <w:t>的档案逐一进行检查，对不符合质量要求的返工处理。主要检查内容有：</w:t>
            </w:r>
          </w:p>
          <w:p>
            <w:pPr>
              <w:pStyle w:val="null3"/>
              <w:ind w:firstLine="400"/>
            </w:pPr>
            <w:r>
              <w:rPr>
                <w:sz w:val="20"/>
              </w:rPr>
              <w:t>（</w:t>
            </w:r>
            <w:r>
              <w:rPr>
                <w:sz w:val="20"/>
              </w:rPr>
              <w:t>1</w:t>
            </w:r>
            <w:r>
              <w:rPr>
                <w:sz w:val="20"/>
              </w:rPr>
              <w:t>）著录信息检查：电子档案实行多重索引，能按法院案件的事项（年度、案号、案由、当事人、承办人、案卷号等）进行检索查询。</w:t>
            </w:r>
          </w:p>
          <w:p>
            <w:pPr>
              <w:pStyle w:val="null3"/>
              <w:ind w:firstLine="400"/>
            </w:pPr>
            <w:r>
              <w:rPr>
                <w:sz w:val="20"/>
              </w:rPr>
              <w:t>（</w:t>
            </w:r>
            <w:r>
              <w:rPr>
                <w:sz w:val="20"/>
              </w:rPr>
              <w:t>2</w:t>
            </w:r>
            <w:r>
              <w:rPr>
                <w:sz w:val="20"/>
              </w:rPr>
              <w:t>）影像质量检查：影像质量的检查就是对影像扫描所生成的影像文件清晰度等质量进行检查，存在问题的予以图像修正优化处理，无法通过图像处理解决的需要重新影像扫描处理。</w:t>
            </w:r>
          </w:p>
          <w:p>
            <w:pPr>
              <w:pStyle w:val="null3"/>
              <w:ind w:firstLine="400"/>
            </w:pPr>
            <w:r>
              <w:rPr>
                <w:sz w:val="20"/>
              </w:rPr>
              <w:t>（</w:t>
            </w:r>
            <w:r>
              <w:rPr>
                <w:sz w:val="20"/>
              </w:rPr>
              <w:t>3</w:t>
            </w:r>
            <w:r>
              <w:rPr>
                <w:sz w:val="20"/>
              </w:rPr>
              <w:t>）确保纸质档案与电子档案的页数、内容、排序一致，案卷列表、目录录入正确、归类准确，无缺页、漏页。发现不符合图像质量要求时，应重新进行图像处理。</w:t>
            </w:r>
          </w:p>
          <w:p>
            <w:pPr>
              <w:pStyle w:val="null3"/>
            </w:pPr>
            <w:r>
              <w:rPr>
                <w:sz w:val="20"/>
              </w:rPr>
              <w:t>9.</w:t>
            </w:r>
            <w:r>
              <w:rPr>
                <w:sz w:val="20"/>
              </w:rPr>
              <w:t>数据挂接</w:t>
            </w:r>
          </w:p>
          <w:p>
            <w:pPr>
              <w:pStyle w:val="null3"/>
              <w:ind w:firstLine="400"/>
            </w:pPr>
            <w:r>
              <w:rPr>
                <w:sz w:val="20"/>
              </w:rPr>
              <w:t>（</w:t>
            </w:r>
            <w:r>
              <w:rPr>
                <w:sz w:val="20"/>
              </w:rPr>
              <w:t>1</w:t>
            </w:r>
            <w:r>
              <w:rPr>
                <w:sz w:val="20"/>
              </w:rPr>
              <w:t>）通过系统建立文件名，需输入案件年份、类型、案号，并与对应的案件图像进行数据挂接，从而确保目录数据与数字图像紧密关联。进行数据挂接时，确保案件名和图像名称要一致，挂接工作准确无误。挂接内容涵盖档案的全部资料，包括但不限于民事案件、执行案件、刑事案件等各类案件的诉讼卷，以及刑事案件的检察卷、侦查卷等重要文件。</w:t>
            </w:r>
          </w:p>
          <w:p>
            <w:pPr>
              <w:pStyle w:val="null3"/>
              <w:ind w:firstLine="400"/>
            </w:pPr>
            <w:r>
              <w:rPr>
                <w:sz w:val="20"/>
              </w:rPr>
              <w:t>（</w:t>
            </w:r>
            <w:r>
              <w:rPr>
                <w:sz w:val="20"/>
              </w:rPr>
              <w:t>2</w:t>
            </w:r>
            <w:r>
              <w:rPr>
                <w:sz w:val="20"/>
              </w:rPr>
              <w:t>）电子档案验收：逐条对挂接结果进行检查，包括目录数据与纸质档案数字图像对应的准确性、已挂接数字图像与实际扫描数量的一致性、数字图像是否能正常打开等，发现错误及时进行纠正。</w:t>
            </w:r>
          </w:p>
          <w:p>
            <w:pPr>
              <w:pStyle w:val="null3"/>
            </w:pPr>
            <w:r>
              <w:rPr>
                <w:sz w:val="20"/>
              </w:rPr>
              <w:t>10.</w:t>
            </w:r>
            <w:r>
              <w:rPr>
                <w:sz w:val="20"/>
              </w:rPr>
              <w:t>数据导入</w:t>
            </w:r>
          </w:p>
          <w:p>
            <w:pPr>
              <w:pStyle w:val="null3"/>
              <w:ind w:firstLine="400"/>
            </w:pPr>
            <w:r>
              <w:rPr>
                <w:sz w:val="20"/>
              </w:rPr>
              <w:t>供应商需确保扫描完成的电子档案数据完整且安全地导入至省高院统一部署的档案管理系统和平台，且该系统能够正常使用这些数据进行查询、调阅等操作。</w:t>
            </w:r>
          </w:p>
          <w:p>
            <w:pPr>
              <w:pStyle w:val="null3"/>
            </w:pPr>
            <w:r>
              <w:rPr>
                <w:sz w:val="20"/>
              </w:rPr>
              <w:t>11.</w:t>
            </w:r>
            <w:r>
              <w:rPr>
                <w:sz w:val="20"/>
              </w:rPr>
              <w:t>数据核对</w:t>
            </w:r>
          </w:p>
          <w:p>
            <w:pPr>
              <w:pStyle w:val="null3"/>
              <w:ind w:firstLine="400"/>
            </w:pPr>
            <w:r>
              <w:rPr>
                <w:sz w:val="20"/>
              </w:rPr>
              <w:t>根据案件的相关信息，补充完整档案管理平台上的数据，并核对纸质档案和电子档案，确保电子档案齐全完整。</w:t>
            </w:r>
          </w:p>
          <w:p>
            <w:pPr>
              <w:pStyle w:val="null3"/>
            </w:pPr>
            <w:r>
              <w:rPr>
                <w:sz w:val="20"/>
              </w:rPr>
              <w:t>12.</w:t>
            </w:r>
            <w:r>
              <w:rPr>
                <w:sz w:val="20"/>
              </w:rPr>
              <w:t>数据备份</w:t>
            </w:r>
          </w:p>
          <w:p>
            <w:pPr>
              <w:pStyle w:val="null3"/>
              <w:ind w:firstLine="400"/>
            </w:pPr>
            <w:r>
              <w:rPr>
                <w:sz w:val="20"/>
              </w:rPr>
              <w:t>★按照采购人要求，定期对档案数据进行在线</w:t>
            </w:r>
            <w:r>
              <w:rPr>
                <w:sz w:val="20"/>
              </w:rPr>
              <w:t>/</w:t>
            </w:r>
            <w:r>
              <w:rPr>
                <w:sz w:val="20"/>
              </w:rPr>
              <w:t>离线备份。项目结束后，供应商要以</w:t>
            </w:r>
            <w:r>
              <w:rPr>
                <w:sz w:val="20"/>
              </w:rPr>
              <w:t xml:space="preserve">PDF </w:t>
            </w:r>
            <w:r>
              <w:rPr>
                <w:sz w:val="20"/>
              </w:rPr>
              <w:t>和</w:t>
            </w:r>
            <w:r>
              <w:rPr>
                <w:sz w:val="20"/>
              </w:rPr>
              <w:t xml:space="preserve">JPG </w:t>
            </w:r>
            <w:r>
              <w:rPr>
                <w:sz w:val="20"/>
              </w:rPr>
              <w:t>的格式刻录</w:t>
            </w:r>
            <w:r>
              <w:rPr>
                <w:sz w:val="20"/>
              </w:rPr>
              <w:t>DVD</w:t>
            </w:r>
            <w:r>
              <w:rPr>
                <w:sz w:val="20"/>
              </w:rPr>
              <w:t>数据蓝光光盘和移动硬盘各一式两份交付采购人。</w:t>
            </w:r>
          </w:p>
          <w:p>
            <w:pPr>
              <w:pStyle w:val="null3"/>
            </w:pPr>
            <w:r>
              <w:rPr>
                <w:sz w:val="20"/>
                <w:b/>
              </w:rPr>
              <w:t>（三）立案辅助服务</w:t>
            </w:r>
          </w:p>
          <w:p>
            <w:pPr>
              <w:pStyle w:val="null3"/>
              <w:ind w:firstLine="400"/>
            </w:pPr>
            <w:r>
              <w:rPr>
                <w:sz w:val="20"/>
              </w:rPr>
              <w:t>配合我院立案庭诉讼工作的正常开展，达到速裁案件</w:t>
            </w:r>
            <w:r>
              <w:rPr>
                <w:sz w:val="20"/>
              </w:rPr>
              <w:t>3</w:t>
            </w:r>
            <w:r>
              <w:rPr>
                <w:sz w:val="20"/>
              </w:rPr>
              <w:t>天内立案并移交，繁案</w:t>
            </w:r>
            <w:r>
              <w:rPr>
                <w:sz w:val="20"/>
              </w:rPr>
              <w:t xml:space="preserve">7 </w:t>
            </w:r>
            <w:r>
              <w:rPr>
                <w:sz w:val="20"/>
              </w:rPr>
              <w:t>天内立案、排期并送达的任务要求。人员配置：扫描</w:t>
            </w:r>
            <w:r>
              <w:rPr>
                <w:sz w:val="20"/>
              </w:rPr>
              <w:t xml:space="preserve">2 </w:t>
            </w:r>
            <w:r>
              <w:rPr>
                <w:sz w:val="20"/>
              </w:rPr>
              <w:t>人、信息录入</w:t>
            </w:r>
            <w:r>
              <w:rPr>
                <w:sz w:val="20"/>
              </w:rPr>
              <w:t xml:space="preserve">3 </w:t>
            </w:r>
            <w:r>
              <w:rPr>
                <w:sz w:val="20"/>
              </w:rPr>
              <w:t>人、文书制作</w:t>
            </w:r>
            <w:r>
              <w:rPr>
                <w:sz w:val="20"/>
              </w:rPr>
              <w:t xml:space="preserve">2 </w:t>
            </w:r>
            <w:r>
              <w:rPr>
                <w:sz w:val="20"/>
              </w:rPr>
              <w:t>人、集约送达</w:t>
            </w:r>
            <w:r>
              <w:rPr>
                <w:sz w:val="20"/>
              </w:rPr>
              <w:t xml:space="preserve">2 </w:t>
            </w:r>
            <w:r>
              <w:rPr>
                <w:sz w:val="20"/>
              </w:rPr>
              <w:t>人。人员配置可根据实际情况调动。</w:t>
            </w:r>
          </w:p>
          <w:p>
            <w:pPr>
              <w:pStyle w:val="null3"/>
            </w:pPr>
            <w:r>
              <w:rPr>
                <w:sz w:val="20"/>
              </w:rPr>
              <w:t>1.</w:t>
            </w:r>
            <w:r>
              <w:rPr>
                <w:sz w:val="20"/>
              </w:rPr>
              <w:t>材料扫描服务</w:t>
            </w:r>
          </w:p>
          <w:p>
            <w:pPr>
              <w:pStyle w:val="null3"/>
              <w:ind w:firstLine="400"/>
            </w:pPr>
            <w:r>
              <w:rPr>
                <w:sz w:val="20"/>
              </w:rPr>
              <w:t>负责立案时案卷材料的扫描、上传，</w:t>
            </w:r>
            <w:r>
              <w:rPr>
                <w:sz w:val="20"/>
              </w:rPr>
              <w:t>(</w:t>
            </w:r>
            <w:r>
              <w:rPr>
                <w:sz w:val="20"/>
              </w:rPr>
              <w:t>预计</w:t>
            </w:r>
            <w:r>
              <w:rPr>
                <w:sz w:val="20"/>
              </w:rPr>
              <w:t>2025</w:t>
            </w:r>
            <w:r>
              <w:rPr>
                <w:sz w:val="20"/>
              </w:rPr>
              <w:t>年新收案件约为</w:t>
            </w:r>
            <w:r>
              <w:rPr>
                <w:sz w:val="20"/>
              </w:rPr>
              <w:t xml:space="preserve">1.7 </w:t>
            </w:r>
            <w:r>
              <w:rPr>
                <w:sz w:val="20"/>
              </w:rPr>
              <w:t>万件案件</w:t>
            </w:r>
            <w:r>
              <w:rPr>
                <w:sz w:val="20"/>
              </w:rPr>
              <w:t>)</w:t>
            </w:r>
            <w:r>
              <w:rPr>
                <w:sz w:val="20"/>
              </w:rPr>
              <w:t>主要负责将完成系统立案录入的案件材料进行整理，扫描，并上传到办案系统，生成电子卷宗材料，并制作案件流转二维码。</w:t>
            </w:r>
          </w:p>
          <w:p>
            <w:pPr>
              <w:pStyle w:val="null3"/>
            </w:pPr>
            <w:r>
              <w:rPr>
                <w:sz w:val="20"/>
              </w:rPr>
              <w:t>2.</w:t>
            </w:r>
            <w:r>
              <w:rPr>
                <w:sz w:val="20"/>
              </w:rPr>
              <w:t>信息录入服务</w:t>
            </w:r>
          </w:p>
          <w:p>
            <w:pPr>
              <w:pStyle w:val="null3"/>
              <w:ind w:firstLine="400"/>
            </w:pPr>
            <w:r>
              <w:rPr>
                <w:sz w:val="20"/>
              </w:rPr>
              <w:t>负责各类案件的快速录入、核对，并生成案号（预计</w:t>
            </w:r>
            <w:r>
              <w:rPr>
                <w:sz w:val="20"/>
              </w:rPr>
              <w:t>2025</w:t>
            </w:r>
            <w:r>
              <w:rPr>
                <w:sz w:val="20"/>
              </w:rPr>
              <w:t>年新收案件约为</w:t>
            </w:r>
            <w:r>
              <w:rPr>
                <w:sz w:val="20"/>
              </w:rPr>
              <w:t xml:space="preserve">1.7 </w:t>
            </w:r>
            <w:r>
              <w:rPr>
                <w:sz w:val="20"/>
              </w:rPr>
              <w:t>万件案件）</w:t>
            </w:r>
          </w:p>
          <w:p>
            <w:pPr>
              <w:pStyle w:val="null3"/>
            </w:pPr>
            <w:r>
              <w:rPr>
                <w:sz w:val="20"/>
              </w:rPr>
              <w:t>3.</w:t>
            </w:r>
            <w:r>
              <w:rPr>
                <w:sz w:val="20"/>
              </w:rPr>
              <w:t>文书材料制作服务</w:t>
            </w:r>
          </w:p>
          <w:p>
            <w:pPr>
              <w:pStyle w:val="null3"/>
              <w:ind w:firstLine="400"/>
            </w:pPr>
            <w:r>
              <w:rPr>
                <w:sz w:val="20"/>
              </w:rPr>
              <w:t>负责民商事、行政、执行案件的传票、受理通知书、应诉通知书、开庭通知书、公告等各类格式法律文书的制作（一年约</w:t>
            </w:r>
            <w:r>
              <w:rPr>
                <w:sz w:val="20"/>
              </w:rPr>
              <w:t>1.6</w:t>
            </w:r>
            <w:r>
              <w:rPr>
                <w:sz w:val="20"/>
              </w:rPr>
              <w:t>万件约</w:t>
            </w:r>
            <w:r>
              <w:rPr>
                <w:sz w:val="20"/>
              </w:rPr>
              <w:t>30</w:t>
            </w:r>
            <w:r>
              <w:rPr>
                <w:sz w:val="20"/>
              </w:rPr>
              <w:t>万份格式文书）。</w:t>
            </w:r>
          </w:p>
          <w:p>
            <w:pPr>
              <w:pStyle w:val="null3"/>
            </w:pPr>
            <w:r>
              <w:rPr>
                <w:sz w:val="20"/>
              </w:rPr>
              <w:t>4.</w:t>
            </w:r>
            <w:r>
              <w:rPr>
                <w:sz w:val="20"/>
              </w:rPr>
              <w:t>集约送达服务</w:t>
            </w:r>
          </w:p>
          <w:p>
            <w:pPr>
              <w:pStyle w:val="null3"/>
              <w:ind w:firstLine="400"/>
            </w:pPr>
            <w:r>
              <w:rPr>
                <w:sz w:val="20"/>
              </w:rPr>
              <w:t>负责打印已制作好的格式文书及分流，并进行直接送达、电子送达及邮寄送达等（约</w:t>
            </w:r>
            <w:r>
              <w:rPr>
                <w:sz w:val="20"/>
              </w:rPr>
              <w:t xml:space="preserve">7 </w:t>
            </w:r>
            <w:r>
              <w:rPr>
                <w:sz w:val="20"/>
              </w:rPr>
              <w:t>万人次）。</w:t>
            </w:r>
          </w:p>
          <w:p>
            <w:pPr>
              <w:pStyle w:val="null3"/>
            </w:pPr>
            <w:r>
              <w:rPr>
                <w:sz w:val="20"/>
                <w:b/>
              </w:rPr>
              <w:t>（四）档案管理服务</w:t>
            </w:r>
          </w:p>
          <w:p>
            <w:pPr>
              <w:pStyle w:val="null3"/>
              <w:ind w:firstLine="400"/>
            </w:pPr>
            <w:r>
              <w:rPr>
                <w:sz w:val="20"/>
              </w:rPr>
              <w:t>供应商负责对卷宗的规范存放、高效检索进行精细化管理，并提供精准的数据展示服务。供应商应提供档案中间库管理系统，以实现案件纸质卷宗的流转管理，通过</w:t>
            </w:r>
            <w:r>
              <w:rPr>
                <w:sz w:val="20"/>
              </w:rPr>
              <w:t>RFID</w:t>
            </w:r>
            <w:r>
              <w:rPr>
                <w:sz w:val="20"/>
              </w:rPr>
              <w:t>技术识别纸质卷宗材料信息，实时展现案件纸质卷宗的整体流转情况。人员配置：追收</w:t>
            </w:r>
            <w:r>
              <w:rPr>
                <w:sz w:val="20"/>
              </w:rPr>
              <w:t>1</w:t>
            </w:r>
            <w:r>
              <w:rPr>
                <w:sz w:val="20"/>
              </w:rPr>
              <w:t>人、装订</w:t>
            </w:r>
            <w:r>
              <w:rPr>
                <w:sz w:val="20"/>
              </w:rPr>
              <w:t xml:space="preserve">1 </w:t>
            </w:r>
            <w:r>
              <w:rPr>
                <w:sz w:val="20"/>
              </w:rPr>
              <w:t>人、打盒</w:t>
            </w:r>
            <w:r>
              <w:rPr>
                <w:sz w:val="20"/>
              </w:rPr>
              <w:t>1</w:t>
            </w:r>
            <w:r>
              <w:rPr>
                <w:sz w:val="20"/>
              </w:rPr>
              <w:t>人、档案验收</w:t>
            </w:r>
            <w:r>
              <w:rPr>
                <w:sz w:val="20"/>
              </w:rPr>
              <w:t>1</w:t>
            </w:r>
            <w:r>
              <w:rPr>
                <w:sz w:val="20"/>
              </w:rPr>
              <w:t>人、档案上架及</w:t>
            </w:r>
            <w:r>
              <w:rPr>
                <w:sz w:val="20"/>
              </w:rPr>
              <w:t xml:space="preserve">RFID </w:t>
            </w:r>
            <w:r>
              <w:rPr>
                <w:sz w:val="20"/>
              </w:rPr>
              <w:t>库房管理</w:t>
            </w:r>
            <w:r>
              <w:rPr>
                <w:sz w:val="20"/>
              </w:rPr>
              <w:t>2</w:t>
            </w:r>
            <w:r>
              <w:rPr>
                <w:sz w:val="20"/>
              </w:rPr>
              <w:t>人、咨询接待</w:t>
            </w:r>
            <w:r>
              <w:rPr>
                <w:sz w:val="20"/>
              </w:rPr>
              <w:t>2</w:t>
            </w:r>
            <w:r>
              <w:rPr>
                <w:sz w:val="20"/>
              </w:rPr>
              <w:t>人、档案出入库及运输</w:t>
            </w:r>
            <w:r>
              <w:rPr>
                <w:sz w:val="20"/>
              </w:rPr>
              <w:t>2</w:t>
            </w:r>
            <w:r>
              <w:rPr>
                <w:sz w:val="20"/>
              </w:rPr>
              <w:t>人、文书打印</w:t>
            </w:r>
            <w:r>
              <w:rPr>
                <w:sz w:val="20"/>
              </w:rPr>
              <w:t>1</w:t>
            </w:r>
            <w:r>
              <w:rPr>
                <w:sz w:val="20"/>
              </w:rPr>
              <w:t>人。人员配置可根据实际情况调动。</w:t>
            </w:r>
          </w:p>
          <w:p>
            <w:pPr>
              <w:pStyle w:val="null3"/>
            </w:pPr>
            <w:r>
              <w:rPr>
                <w:sz w:val="20"/>
              </w:rPr>
              <w:t>1.</w:t>
            </w:r>
            <w:r>
              <w:rPr>
                <w:sz w:val="20"/>
              </w:rPr>
              <w:t>档案追收</w:t>
            </w:r>
          </w:p>
          <w:p>
            <w:pPr>
              <w:pStyle w:val="null3"/>
              <w:ind w:firstLine="400"/>
            </w:pPr>
            <w:r>
              <w:rPr>
                <w:sz w:val="20"/>
              </w:rPr>
              <w:t>（</w:t>
            </w:r>
            <w:r>
              <w:rPr>
                <w:sz w:val="20"/>
              </w:rPr>
              <w:t>1</w:t>
            </w:r>
            <w:r>
              <w:rPr>
                <w:sz w:val="20"/>
              </w:rPr>
              <w:t>）利用综合业务系统，每月定期向各庭室负责人及审判人员邮箱发送超期未归档及长期未还档案统计表，以推进档案催收工作。</w:t>
            </w:r>
          </w:p>
          <w:p>
            <w:pPr>
              <w:pStyle w:val="null3"/>
              <w:ind w:firstLine="400"/>
            </w:pPr>
            <w:r>
              <w:rPr>
                <w:sz w:val="20"/>
              </w:rPr>
              <w:t>（</w:t>
            </w:r>
            <w:r>
              <w:rPr>
                <w:sz w:val="20"/>
              </w:rPr>
              <w:t>2</w:t>
            </w:r>
            <w:r>
              <w:rPr>
                <w:sz w:val="20"/>
              </w:rPr>
              <w:t>）每月定期汇总各庭室反馈，并对数据进行细致筛选与核对。</w:t>
            </w:r>
          </w:p>
          <w:p>
            <w:pPr>
              <w:pStyle w:val="null3"/>
              <w:ind w:firstLine="400"/>
            </w:pPr>
            <w:r>
              <w:rPr>
                <w:sz w:val="20"/>
              </w:rPr>
              <w:t>（</w:t>
            </w:r>
            <w:r>
              <w:rPr>
                <w:sz w:val="20"/>
              </w:rPr>
              <w:t>3</w:t>
            </w:r>
            <w:r>
              <w:rPr>
                <w:sz w:val="20"/>
              </w:rPr>
              <w:t>）每月制作全院超期未归档及长期未还案件汇总表、明细表，并根据收集各庭室和承办人的反馈意见进行筛选、核对、统计超期未归档原因、分析原因，书面报档案室。</w:t>
            </w:r>
          </w:p>
          <w:p>
            <w:pPr>
              <w:pStyle w:val="null3"/>
            </w:pPr>
            <w:r>
              <w:rPr>
                <w:sz w:val="20"/>
              </w:rPr>
              <w:t>2.</w:t>
            </w:r>
            <w:r>
              <w:rPr>
                <w:sz w:val="20"/>
              </w:rPr>
              <w:t>档案装订及打盒</w:t>
            </w:r>
          </w:p>
          <w:p>
            <w:pPr>
              <w:pStyle w:val="null3"/>
              <w:ind w:firstLine="400"/>
            </w:pPr>
            <w:r>
              <w:rPr>
                <w:sz w:val="20"/>
              </w:rPr>
              <w:t>（</w:t>
            </w:r>
            <w:r>
              <w:rPr>
                <w:sz w:val="20"/>
              </w:rPr>
              <w:t>1</w:t>
            </w:r>
            <w:r>
              <w:rPr>
                <w:sz w:val="20"/>
              </w:rPr>
              <w:t>）装订人员摘除档案夹，对纸质档案逐卷清点页数，把材料按编号叠齐修正按案件编号装订，对于影像扫描前已折叠过的大于</w:t>
            </w:r>
            <w:r>
              <w:rPr>
                <w:sz w:val="20"/>
              </w:rPr>
              <w:t xml:space="preserve">A4 </w:t>
            </w:r>
            <w:r>
              <w:rPr>
                <w:sz w:val="20"/>
              </w:rPr>
              <w:t>幅面的图纸应按照相关规范重新折叠，卷内竖向文书材料文字朝上，横向材料文字朝向内侧，最后按照要求对档案以卷为单位进行装订，卷宗的装订必须牢固、整齐、美观，卷内材料右齐下齐，三孔一条</w:t>
            </w:r>
            <w:r>
              <w:rPr>
                <w:sz w:val="20"/>
              </w:rPr>
              <w:t>线进行装订，装订线长度以</w:t>
            </w:r>
            <w:r>
              <w:rPr>
                <w:sz w:val="20"/>
              </w:rPr>
              <w:t xml:space="preserve">180 </w:t>
            </w:r>
            <w:r>
              <w:rPr>
                <w:sz w:val="20"/>
              </w:rPr>
              <w:t>毫米左右为宜。将纸质档案装订成册，装订后将档案证物与档案粘贴在一起，贴好封条并加盖档案印章。</w:t>
            </w:r>
          </w:p>
          <w:p>
            <w:pPr>
              <w:pStyle w:val="null3"/>
              <w:ind w:firstLine="400"/>
            </w:pPr>
            <w:r>
              <w:rPr>
                <w:sz w:val="20"/>
              </w:rPr>
              <w:t>（</w:t>
            </w:r>
            <w:r>
              <w:rPr>
                <w:sz w:val="20"/>
              </w:rPr>
              <w:t>2</w:t>
            </w:r>
            <w:r>
              <w:rPr>
                <w:sz w:val="20"/>
              </w:rPr>
              <w:t>）根据封面资料打印档案盒，确保档案装盒符合中山市中级人民法院档案规范化整理的要求，参照《人民法院档案管理办法》进行。</w:t>
            </w:r>
          </w:p>
          <w:p>
            <w:pPr>
              <w:pStyle w:val="null3"/>
              <w:ind w:firstLine="400"/>
            </w:pPr>
            <w:r>
              <w:rPr>
                <w:sz w:val="20"/>
              </w:rPr>
              <w:t>（</w:t>
            </w:r>
            <w:r>
              <w:rPr>
                <w:sz w:val="20"/>
              </w:rPr>
              <w:t>3</w:t>
            </w:r>
            <w:r>
              <w:rPr>
                <w:sz w:val="20"/>
              </w:rPr>
              <w:t>）根据档案盒封面设计各类型档案的打印格式，根据每个纸质案件的封面内容在电脑里对应的位置输入相应的内容（案号、案由、当事人信息、审判人员、日期、册数、案卷号等），检查无误后打印档案盒，将案卷装入对应档案盒中，确保档案盒打印清晰美观和统一、档案没有漏装、错装及装盒不规范等问题。如打印有不合规范重新打印。</w:t>
            </w:r>
          </w:p>
          <w:p>
            <w:pPr>
              <w:pStyle w:val="null3"/>
              <w:ind w:firstLine="400"/>
            </w:pPr>
            <w:r>
              <w:rPr>
                <w:sz w:val="20"/>
              </w:rPr>
              <w:t>（</w:t>
            </w:r>
            <w:r>
              <w:rPr>
                <w:sz w:val="20"/>
              </w:rPr>
              <w:t>4</w:t>
            </w:r>
            <w:r>
              <w:rPr>
                <w:sz w:val="20"/>
              </w:rPr>
              <w:t>）供应商需指派专业人员，对拟交付验收的档案进行逐卷细致检查。检查内容包括但不限于档案册数、材料完整性、档案盒面信息的准确性、档案封面信息的一致性等，确保档案盒打印既清晰又美观，且格式统一。同时，严格核查档案是否存在漏装、错装或装盒不规范等问题，确保档案质量。</w:t>
            </w:r>
          </w:p>
          <w:p>
            <w:pPr>
              <w:pStyle w:val="null3"/>
              <w:ind w:firstLine="400"/>
            </w:pPr>
            <w:r>
              <w:rPr>
                <w:sz w:val="20"/>
              </w:rPr>
              <w:t>（</w:t>
            </w:r>
            <w:r>
              <w:rPr>
                <w:sz w:val="20"/>
              </w:rPr>
              <w:t>5</w:t>
            </w:r>
            <w:r>
              <w:rPr>
                <w:sz w:val="20"/>
              </w:rPr>
              <w:t>）归档验收，已装盒的纸质档案需移交至档案室，由验收人员对纸质档案及电子档案进行验收，及时实现档案“已数字化”状态。对于验收过程中发现的问题，及时进行沟通并处理。</w:t>
            </w:r>
          </w:p>
          <w:p>
            <w:pPr>
              <w:pStyle w:val="null3"/>
            </w:pPr>
            <w:r>
              <w:rPr>
                <w:sz w:val="20"/>
              </w:rPr>
              <w:t>3.</w:t>
            </w:r>
            <w:r>
              <w:rPr>
                <w:sz w:val="20"/>
              </w:rPr>
              <w:t>档案检查接收</w:t>
            </w:r>
          </w:p>
          <w:p>
            <w:pPr>
              <w:pStyle w:val="null3"/>
              <w:ind w:firstLine="400"/>
            </w:pPr>
            <w:r>
              <w:rPr>
                <w:sz w:val="20"/>
              </w:rPr>
              <w:t>（</w:t>
            </w:r>
            <w:r>
              <w:rPr>
                <w:sz w:val="20"/>
              </w:rPr>
              <w:t>1</w:t>
            </w:r>
            <w:r>
              <w:rPr>
                <w:sz w:val="20"/>
              </w:rPr>
              <w:t>）依据各审判业务部门提交的《归档清单》，逐件核对并点算接收实体案件，完成纸质与系统签收。同时，按照《人民法院诉讼文书材料立卷规范》逐卷检查验收，不合格者退回相关业务部门重新整理。</w:t>
            </w:r>
          </w:p>
          <w:p>
            <w:pPr>
              <w:pStyle w:val="null3"/>
              <w:ind w:firstLine="400"/>
            </w:pPr>
            <w:r>
              <w:rPr>
                <w:sz w:val="20"/>
              </w:rPr>
              <w:t>（</w:t>
            </w:r>
            <w:r>
              <w:rPr>
                <w:sz w:val="20"/>
              </w:rPr>
              <w:t>2</w:t>
            </w:r>
            <w:r>
              <w:rPr>
                <w:sz w:val="20"/>
              </w:rPr>
              <w:t>）扫描档案袋上的二维码，在“卷宗流转管理系统”确认接收，并在《归档清单》上签名确认。</w:t>
            </w:r>
          </w:p>
          <w:p>
            <w:pPr>
              <w:pStyle w:val="null3"/>
              <w:ind w:firstLine="400"/>
            </w:pPr>
            <w:r>
              <w:rPr>
                <w:sz w:val="20"/>
              </w:rPr>
              <w:t>（</w:t>
            </w:r>
            <w:r>
              <w:rPr>
                <w:sz w:val="20"/>
              </w:rPr>
              <w:t>3</w:t>
            </w:r>
            <w:r>
              <w:rPr>
                <w:sz w:val="20"/>
              </w:rPr>
              <w:t>）在综合业务系统对每个案件进行案件基本信息核对后对案件进行纸质签收和系统签收，每件档案系统签收后生成一个归档号，并在案件袋上标注。</w:t>
            </w:r>
          </w:p>
          <w:p>
            <w:pPr>
              <w:pStyle w:val="null3"/>
              <w:ind w:firstLine="400"/>
            </w:pPr>
            <w:r>
              <w:rPr>
                <w:sz w:val="20"/>
              </w:rPr>
              <w:t>（</w:t>
            </w:r>
            <w:r>
              <w:rPr>
                <w:sz w:val="20"/>
              </w:rPr>
              <w:t>4</w:t>
            </w:r>
            <w:r>
              <w:rPr>
                <w:sz w:val="20"/>
              </w:rPr>
              <w:t>）检查有问题的档案发回处理。</w:t>
            </w:r>
          </w:p>
          <w:p>
            <w:pPr>
              <w:pStyle w:val="null3"/>
            </w:pPr>
            <w:r>
              <w:rPr>
                <w:sz w:val="20"/>
              </w:rPr>
              <w:t>4.</w:t>
            </w:r>
            <w:r>
              <w:rPr>
                <w:sz w:val="20"/>
              </w:rPr>
              <w:t>定期盘点</w:t>
            </w:r>
          </w:p>
          <w:p>
            <w:pPr>
              <w:pStyle w:val="null3"/>
              <w:ind w:firstLine="400"/>
            </w:pPr>
            <w:r>
              <w:rPr>
                <w:sz w:val="20"/>
              </w:rPr>
              <w:t>（</w:t>
            </w:r>
            <w:r>
              <w:rPr>
                <w:sz w:val="20"/>
              </w:rPr>
              <w:t>1</w:t>
            </w:r>
            <w:r>
              <w:rPr>
                <w:sz w:val="20"/>
              </w:rPr>
              <w:t>）定期到库房盘点，通过</w:t>
            </w:r>
            <w:r>
              <w:rPr>
                <w:sz w:val="20"/>
              </w:rPr>
              <w:t>RFID</w:t>
            </w:r>
            <w:r>
              <w:rPr>
                <w:sz w:val="20"/>
              </w:rPr>
              <w:t>对档案位置及数量等盘点，盘点后数据进行整合、统计、分析，生成档案盘点报表、档案借阅明细报表、档案接收情况统计分析报表等并上报档案室。</w:t>
            </w:r>
          </w:p>
          <w:p>
            <w:pPr>
              <w:pStyle w:val="null3"/>
              <w:ind w:firstLine="400"/>
            </w:pPr>
            <w:r>
              <w:rPr>
                <w:sz w:val="20"/>
              </w:rPr>
              <w:t>（</w:t>
            </w:r>
            <w:r>
              <w:rPr>
                <w:sz w:val="20"/>
              </w:rPr>
              <w:t>2</w:t>
            </w:r>
            <w:r>
              <w:rPr>
                <w:sz w:val="20"/>
              </w:rPr>
              <w:t>）根据相关数据，通知借用期限将到或已超期的借卷人限期内归还档案，如需续借到档案室办理续借手续。确保数据得到及时的核查、追踪及处理。</w:t>
            </w:r>
          </w:p>
          <w:p>
            <w:pPr>
              <w:pStyle w:val="null3"/>
            </w:pPr>
            <w:r>
              <w:rPr>
                <w:sz w:val="20"/>
              </w:rPr>
              <w:t>5.RFID</w:t>
            </w:r>
            <w:r>
              <w:rPr>
                <w:sz w:val="20"/>
              </w:rPr>
              <w:t>档案管理</w:t>
            </w:r>
          </w:p>
          <w:p>
            <w:pPr>
              <w:pStyle w:val="null3"/>
              <w:ind w:firstLine="400"/>
            </w:pPr>
            <w:r>
              <w:rPr>
                <w:sz w:val="20"/>
              </w:rPr>
              <w:t>（</w:t>
            </w:r>
            <w:r>
              <w:rPr>
                <w:sz w:val="20"/>
              </w:rPr>
              <w:t>1</w:t>
            </w:r>
            <w:r>
              <w:rPr>
                <w:sz w:val="20"/>
              </w:rPr>
              <w:t>）生成</w:t>
            </w:r>
            <w:r>
              <w:rPr>
                <w:sz w:val="20"/>
              </w:rPr>
              <w:t>RFID</w:t>
            </w:r>
            <w:r>
              <w:rPr>
                <w:sz w:val="20"/>
              </w:rPr>
              <w:t>电子标签，将案卷号写入</w:t>
            </w:r>
            <w:r>
              <w:rPr>
                <w:sz w:val="20"/>
              </w:rPr>
              <w:t>RFID</w:t>
            </w:r>
            <w:r>
              <w:rPr>
                <w:sz w:val="20"/>
              </w:rPr>
              <w:t>档案标签与数据库，实现</w:t>
            </w:r>
            <w:r>
              <w:rPr>
                <w:sz w:val="20"/>
              </w:rPr>
              <w:t>RFID</w:t>
            </w:r>
            <w:r>
              <w:rPr>
                <w:sz w:val="20"/>
              </w:rPr>
              <w:t>档案标签与案卷号的唯一关联。关联完成后，通过</w:t>
            </w:r>
            <w:r>
              <w:rPr>
                <w:sz w:val="20"/>
              </w:rPr>
              <w:t>RFID</w:t>
            </w:r>
            <w:r>
              <w:rPr>
                <w:sz w:val="20"/>
              </w:rPr>
              <w:t>设备即可轻松读取档案标签，系统随之展示案卷的详细信息，包括案卷号、受理人及创建时间等。</w:t>
            </w:r>
          </w:p>
          <w:p>
            <w:pPr>
              <w:pStyle w:val="null3"/>
              <w:ind w:firstLine="400"/>
            </w:pPr>
            <w:r>
              <w:rPr>
                <w:sz w:val="20"/>
              </w:rPr>
              <w:t>（</w:t>
            </w:r>
            <w:r>
              <w:rPr>
                <w:sz w:val="20"/>
              </w:rPr>
              <w:t>2</w:t>
            </w:r>
            <w:r>
              <w:rPr>
                <w:sz w:val="20"/>
              </w:rPr>
              <w:t>）档案标签更换，当档案标签在使用过程中，被破坏或撕损时，将原标签撕掉后重新粘贴新的</w:t>
            </w:r>
            <w:r>
              <w:rPr>
                <w:sz w:val="20"/>
              </w:rPr>
              <w:t>RFID</w:t>
            </w:r>
            <w:r>
              <w:rPr>
                <w:sz w:val="20"/>
              </w:rPr>
              <w:t>档案标签，通过档案标签更换模块，实现重新关联。</w:t>
            </w:r>
          </w:p>
          <w:p>
            <w:pPr>
              <w:pStyle w:val="null3"/>
              <w:ind w:firstLine="400"/>
            </w:pPr>
            <w:r>
              <w:rPr>
                <w:sz w:val="20"/>
              </w:rPr>
              <w:t>（</w:t>
            </w:r>
            <w:r>
              <w:rPr>
                <w:sz w:val="20"/>
              </w:rPr>
              <w:t>3</w:t>
            </w:r>
            <w:r>
              <w:rPr>
                <w:sz w:val="20"/>
              </w:rPr>
              <w:t>）工作台系统涵盖档案的归档、调档申请、借阅、归还、续借等多项功能，并包括对档案读者的管理以及档案的查询统计、借阅情况分析等。</w:t>
            </w:r>
          </w:p>
          <w:p>
            <w:pPr>
              <w:pStyle w:val="null3"/>
              <w:ind w:firstLine="400"/>
            </w:pPr>
            <w:r>
              <w:rPr>
                <w:sz w:val="20"/>
              </w:rPr>
              <w:t>（</w:t>
            </w:r>
            <w:r>
              <w:rPr>
                <w:sz w:val="20"/>
              </w:rPr>
              <w:t>4</w:t>
            </w:r>
            <w:r>
              <w:rPr>
                <w:sz w:val="20"/>
              </w:rPr>
              <w:t>）智能盘点，在</w:t>
            </w:r>
            <w:r>
              <w:rPr>
                <w:sz w:val="20"/>
              </w:rPr>
              <w:t>RFID</w:t>
            </w:r>
            <w:r>
              <w:rPr>
                <w:sz w:val="20"/>
              </w:rPr>
              <w:t>档案管理系统中，档案位置管理的最小单位为密集架的一层（或一格），每一层上粘贴一个</w:t>
            </w:r>
            <w:r>
              <w:rPr>
                <w:sz w:val="20"/>
              </w:rPr>
              <w:t>RFID</w:t>
            </w:r>
            <w:r>
              <w:rPr>
                <w:sz w:val="20"/>
              </w:rPr>
              <w:t>层架标签，系统为每一层进行顺序编码，</w:t>
            </w:r>
            <w:r>
              <w:rPr>
                <w:sz w:val="20"/>
              </w:rPr>
              <w:t>RFID</w:t>
            </w:r>
            <w:r>
              <w:rPr>
                <w:sz w:val="20"/>
              </w:rPr>
              <w:t>层架标签上打印该编码内容，以方便工作人员查看。当档案放到密集架的某一层时，需要将</w:t>
            </w:r>
            <w:r>
              <w:rPr>
                <w:sz w:val="20"/>
              </w:rPr>
              <w:t>RFID</w:t>
            </w:r>
            <w:r>
              <w:rPr>
                <w:sz w:val="20"/>
              </w:rPr>
              <w:t>档案标签与</w:t>
            </w:r>
            <w:r>
              <w:rPr>
                <w:sz w:val="20"/>
              </w:rPr>
              <w:t>RFID</w:t>
            </w:r>
            <w:r>
              <w:rPr>
                <w:sz w:val="20"/>
              </w:rPr>
              <w:t>层架标签的关联。系统在顺架、盘点、倒架等工作时，需要通过</w:t>
            </w:r>
            <w:r>
              <w:rPr>
                <w:sz w:val="20"/>
              </w:rPr>
              <w:t>RFID</w:t>
            </w:r>
            <w:r>
              <w:rPr>
                <w:sz w:val="20"/>
              </w:rPr>
              <w:t>手持盘点机读取</w:t>
            </w:r>
            <w:r>
              <w:rPr>
                <w:sz w:val="20"/>
              </w:rPr>
              <w:t>RFID</w:t>
            </w:r>
            <w:r>
              <w:rPr>
                <w:sz w:val="20"/>
              </w:rPr>
              <w:t>层架标签与</w:t>
            </w:r>
            <w:r>
              <w:rPr>
                <w:sz w:val="20"/>
              </w:rPr>
              <w:t>RFID</w:t>
            </w:r>
            <w:r>
              <w:rPr>
                <w:sz w:val="20"/>
              </w:rPr>
              <w:t>档案标签，再实现相应的业务处理。</w:t>
            </w:r>
          </w:p>
          <w:p>
            <w:pPr>
              <w:pStyle w:val="null3"/>
              <w:ind w:firstLine="400"/>
            </w:pPr>
            <w:r>
              <w:rPr>
                <w:sz w:val="20"/>
              </w:rPr>
              <w:t>（</w:t>
            </w:r>
            <w:r>
              <w:rPr>
                <w:sz w:val="20"/>
              </w:rPr>
              <w:t>5</w:t>
            </w:r>
            <w:r>
              <w:rPr>
                <w:sz w:val="20"/>
              </w:rPr>
              <w:t>）协助业务部门司法辅助人员及时扫描审判阶段电子卷宗，以实现立案、审判、归档三个环节的电子卷宗标准统一和数据共享，做到电子卷宗实时随案生成和符合应用场景。</w:t>
            </w:r>
          </w:p>
          <w:p>
            <w:pPr>
              <w:pStyle w:val="null3"/>
            </w:pPr>
            <w:r>
              <w:rPr>
                <w:sz w:val="20"/>
              </w:rPr>
              <w:t>★（</w:t>
            </w:r>
            <w:r>
              <w:rPr>
                <w:sz w:val="20"/>
              </w:rPr>
              <w:t>6</w:t>
            </w:r>
            <w:r>
              <w:rPr>
                <w:sz w:val="20"/>
              </w:rPr>
              <w:t>）提供档案总库存门禁</w:t>
            </w:r>
            <w:r>
              <w:rPr>
                <w:sz w:val="20"/>
              </w:rPr>
              <w:t>RFID</w:t>
            </w:r>
            <w:r>
              <w:rPr>
                <w:sz w:val="20"/>
              </w:rPr>
              <w:t>的自动数据采集设备，自动生成出入库的数据。项目结束后</w:t>
            </w:r>
            <w:r>
              <w:rPr>
                <w:sz w:val="20"/>
              </w:rPr>
              <w:t>RFID</w:t>
            </w:r>
            <w:r>
              <w:rPr>
                <w:sz w:val="20"/>
              </w:rPr>
              <w:t>数据归采购人所有，配合档案室做好相关数据的导出和导入。供应商需承诺，所提供的</w:t>
            </w:r>
            <w:r>
              <w:rPr>
                <w:sz w:val="20"/>
              </w:rPr>
              <w:t>RFID</w:t>
            </w:r>
            <w:r>
              <w:rPr>
                <w:sz w:val="20"/>
              </w:rPr>
              <w:t>系统能与采购人现有</w:t>
            </w:r>
            <w:r>
              <w:rPr>
                <w:sz w:val="20"/>
              </w:rPr>
              <w:t>RFID</w:t>
            </w:r>
            <w:r>
              <w:rPr>
                <w:sz w:val="20"/>
              </w:rPr>
              <w:t>标签兼容，并能正常使用，最终达到</w:t>
            </w:r>
            <w:r>
              <w:rPr>
                <w:sz w:val="20"/>
              </w:rPr>
              <w:t>RFID</w:t>
            </w:r>
            <w:r>
              <w:rPr>
                <w:sz w:val="20"/>
              </w:rPr>
              <w:t>库房管理的功能。采购人不再为此付费，供应商需在投标文件中提供承诺函。</w:t>
            </w:r>
          </w:p>
          <w:p>
            <w:pPr>
              <w:pStyle w:val="null3"/>
            </w:pPr>
            <w:r>
              <w:rPr>
                <w:sz w:val="20"/>
              </w:rPr>
              <w:t>我院现有标签相关参数如下：</w:t>
            </w:r>
          </w:p>
          <w:tbl>
            <w:tblPr>
              <w:tblBorders>
                <w:top w:val="none" w:color="000000" w:sz="4"/>
                <w:left w:val="none" w:color="000000" w:sz="4"/>
                <w:bottom w:val="none" w:color="000000" w:sz="4"/>
                <w:right w:val="none" w:color="000000" w:sz="4"/>
                <w:insideH w:val="none"/>
                <w:insideV w:val="none"/>
              </w:tblBorders>
            </w:tblPr>
            <w:tblGrid>
              <w:gridCol w:w="504"/>
              <w:gridCol w:w="953"/>
              <w:gridCol w:w="4139"/>
            </w:tblGrid>
            <w:tr>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名称</w:t>
                  </w:r>
                </w:p>
              </w:tc>
              <w:tc>
                <w:tcPr>
                  <w:tcW w:type="dxa" w:w="4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技术指标要求</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档案标签</w:t>
                  </w:r>
                </w:p>
              </w:tc>
              <w:tc>
                <w:tcPr>
                  <w:tcW w:type="dxa" w:w="4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材料：铜版纸</w:t>
                  </w:r>
                </w:p>
                <w:p>
                  <w:pPr>
                    <w:pStyle w:val="null3"/>
                    <w:jc w:val="both"/>
                  </w:pPr>
                  <w:r>
                    <w:rPr>
                      <w:sz w:val="21"/>
                    </w:rPr>
                    <w:t>环境参数</w:t>
                  </w:r>
                </w:p>
                <w:p>
                  <w:pPr>
                    <w:pStyle w:val="null3"/>
                    <w:jc w:val="both"/>
                  </w:pPr>
                  <w:r>
                    <w:rPr>
                      <w:sz w:val="21"/>
                    </w:rPr>
                    <w:t>极限工作条件：</w:t>
                  </w:r>
                  <w:r>
                    <w:rPr>
                      <w:sz w:val="21"/>
                    </w:rPr>
                    <w:t>-40</w:t>
                  </w:r>
                  <w:r>
                    <w:rPr>
                      <w:sz w:val="21"/>
                    </w:rPr>
                    <w:t>℃～</w:t>
                  </w:r>
                  <w:r>
                    <w:rPr>
                      <w:sz w:val="21"/>
                    </w:rPr>
                    <w:t>+85</w:t>
                  </w:r>
                  <w:r>
                    <w:rPr>
                      <w:sz w:val="21"/>
                    </w:rPr>
                    <w:t>℃</w:t>
                  </w:r>
                  <w:r>
                    <w:rPr>
                      <w:sz w:val="21"/>
                    </w:rPr>
                    <w:t>/20%</w:t>
                  </w:r>
                  <w:r>
                    <w:rPr>
                      <w:sz w:val="21"/>
                    </w:rPr>
                    <w:t>～</w:t>
                  </w:r>
                  <w:r>
                    <w:rPr>
                      <w:sz w:val="21"/>
                    </w:rPr>
                    <w:t>90%RH</w:t>
                  </w:r>
                </w:p>
                <w:p>
                  <w:pPr>
                    <w:pStyle w:val="null3"/>
                    <w:jc w:val="both"/>
                  </w:pPr>
                  <w:r>
                    <w:rPr>
                      <w:sz w:val="21"/>
                    </w:rPr>
                    <w:t>建议工作条件：</w:t>
                  </w:r>
                  <w:r>
                    <w:rPr>
                      <w:sz w:val="21"/>
                    </w:rPr>
                    <w:t>-10</w:t>
                  </w:r>
                  <w:r>
                    <w:rPr>
                      <w:sz w:val="21"/>
                    </w:rPr>
                    <w:t>℃～</w:t>
                  </w:r>
                  <w:r>
                    <w:rPr>
                      <w:sz w:val="21"/>
                    </w:rPr>
                    <w:t>+70</w:t>
                  </w:r>
                  <w:r>
                    <w:rPr>
                      <w:sz w:val="21"/>
                    </w:rPr>
                    <w:t>℃</w:t>
                  </w:r>
                  <w:r>
                    <w:rPr>
                      <w:sz w:val="21"/>
                    </w:rPr>
                    <w:t>/20%</w:t>
                  </w:r>
                  <w:r>
                    <w:rPr>
                      <w:sz w:val="21"/>
                    </w:rPr>
                    <w:t>～</w:t>
                  </w:r>
                  <w:r>
                    <w:rPr>
                      <w:sz w:val="21"/>
                    </w:rPr>
                    <w:t>90%RH</w:t>
                  </w:r>
                </w:p>
                <w:p>
                  <w:pPr>
                    <w:pStyle w:val="null3"/>
                    <w:jc w:val="both"/>
                  </w:pPr>
                  <w:r>
                    <w:rPr>
                      <w:sz w:val="21"/>
                    </w:rPr>
                    <w:t>极限储存条件：</w:t>
                  </w:r>
                  <w:r>
                    <w:rPr>
                      <w:sz w:val="21"/>
                    </w:rPr>
                    <w:t>-20</w:t>
                  </w:r>
                  <w:r>
                    <w:rPr>
                      <w:sz w:val="21"/>
                    </w:rPr>
                    <w:t>℃～</w:t>
                  </w:r>
                  <w:r>
                    <w:rPr>
                      <w:sz w:val="21"/>
                    </w:rPr>
                    <w:t>+70</w:t>
                  </w:r>
                  <w:r>
                    <w:rPr>
                      <w:sz w:val="21"/>
                    </w:rPr>
                    <w:t>℃</w:t>
                  </w:r>
                  <w:r>
                    <w:rPr>
                      <w:sz w:val="21"/>
                    </w:rPr>
                    <w:t>/20%</w:t>
                  </w:r>
                  <w:r>
                    <w:rPr>
                      <w:sz w:val="21"/>
                    </w:rPr>
                    <w:t>～</w:t>
                  </w:r>
                  <w:r>
                    <w:rPr>
                      <w:sz w:val="21"/>
                    </w:rPr>
                    <w:t>90%RH</w:t>
                  </w:r>
                </w:p>
                <w:p>
                  <w:pPr>
                    <w:pStyle w:val="null3"/>
                    <w:jc w:val="both"/>
                  </w:pPr>
                  <w:r>
                    <w:rPr>
                      <w:sz w:val="21"/>
                    </w:rPr>
                    <w:t>建议储存条件：</w:t>
                  </w:r>
                  <w:r>
                    <w:rPr>
                      <w:sz w:val="21"/>
                    </w:rPr>
                    <w:t>+25</w:t>
                  </w:r>
                  <w:r>
                    <w:rPr>
                      <w:sz w:val="21"/>
                    </w:rPr>
                    <w:t>℃±</w:t>
                  </w:r>
                  <w:r>
                    <w:rPr>
                      <w:sz w:val="21"/>
                    </w:rPr>
                    <w:t>2</w:t>
                  </w:r>
                  <w:r>
                    <w:rPr>
                      <w:sz w:val="21"/>
                    </w:rPr>
                    <w:t>℃</w:t>
                  </w:r>
                  <w:r>
                    <w:rPr>
                      <w:sz w:val="21"/>
                    </w:rPr>
                    <w:t>/65% RH</w:t>
                  </w:r>
                </w:p>
                <w:p>
                  <w:pPr>
                    <w:pStyle w:val="null3"/>
                    <w:jc w:val="both"/>
                  </w:pPr>
                  <w:r>
                    <w:rPr>
                      <w:sz w:val="21"/>
                    </w:rPr>
                    <w:t>性能参数</w:t>
                  </w:r>
                </w:p>
                <w:p>
                  <w:pPr>
                    <w:pStyle w:val="null3"/>
                    <w:jc w:val="both"/>
                  </w:pPr>
                  <w:r>
                    <w:rPr>
                      <w:sz w:val="21"/>
                    </w:rPr>
                    <w:t>工作频段：</w:t>
                  </w:r>
                  <w:r>
                    <w:rPr>
                      <w:sz w:val="21"/>
                    </w:rPr>
                    <w:t>840-960MHz</w:t>
                  </w:r>
                </w:p>
                <w:p>
                  <w:pPr>
                    <w:pStyle w:val="null3"/>
                    <w:jc w:val="both"/>
                  </w:pPr>
                  <w:r>
                    <w:rPr>
                      <w:sz w:val="21"/>
                    </w:rPr>
                    <w:t>支持标准：</w:t>
                  </w:r>
                  <w:r>
                    <w:rPr>
                      <w:sz w:val="21"/>
                    </w:rPr>
                    <w:t xml:space="preserve">EPCglobal C1 Gen2 </w:t>
                  </w:r>
                  <w:r>
                    <w:rPr>
                      <w:sz w:val="21"/>
                    </w:rPr>
                    <w:t>与</w:t>
                  </w:r>
                  <w:r>
                    <w:rPr>
                      <w:sz w:val="21"/>
                    </w:rPr>
                    <w:t>ISO18000-6C</w:t>
                  </w:r>
                </w:p>
                <w:p>
                  <w:pPr>
                    <w:pStyle w:val="null3"/>
                    <w:jc w:val="both"/>
                  </w:pPr>
                  <w:r>
                    <w:rPr>
                      <w:sz w:val="21"/>
                    </w:rPr>
                    <w:t>读取距离：</w:t>
                  </w:r>
                  <w:r>
                    <w:rPr>
                      <w:sz w:val="21"/>
                    </w:rPr>
                    <w:t>0m</w:t>
                  </w:r>
                  <w:r>
                    <w:rPr>
                      <w:sz w:val="21"/>
                    </w:rPr>
                    <w:t>～</w:t>
                  </w:r>
                  <w:r>
                    <w:rPr>
                      <w:sz w:val="21"/>
                    </w:rPr>
                    <w:t>8m</w:t>
                  </w:r>
                  <w:r>
                    <w:rPr>
                      <w:sz w:val="21"/>
                    </w:rPr>
                    <w:t>（与配置情况相关）</w:t>
                  </w:r>
                </w:p>
                <w:p>
                  <w:pPr>
                    <w:pStyle w:val="null3"/>
                    <w:jc w:val="both"/>
                  </w:pPr>
                  <w:r>
                    <w:rPr>
                      <w:sz w:val="21"/>
                    </w:rPr>
                    <w:t>写入距离：</w:t>
                  </w:r>
                  <w:r>
                    <w:rPr>
                      <w:sz w:val="21"/>
                    </w:rPr>
                    <w:t>0m</w:t>
                  </w:r>
                  <w:r>
                    <w:rPr>
                      <w:sz w:val="21"/>
                    </w:rPr>
                    <w:t>～</w:t>
                  </w:r>
                  <w:r>
                    <w:rPr>
                      <w:sz w:val="21"/>
                    </w:rPr>
                    <w:t>4m</w:t>
                  </w:r>
                  <w:r>
                    <w:rPr>
                      <w:sz w:val="21"/>
                    </w:rPr>
                    <w:t>（与配置情况相关）</w:t>
                  </w:r>
                </w:p>
                <w:p>
                  <w:pPr>
                    <w:pStyle w:val="null3"/>
                    <w:jc w:val="both"/>
                  </w:pPr>
                  <w:r>
                    <w:rPr>
                      <w:sz w:val="21"/>
                    </w:rPr>
                    <w:t>工作模式：读写</w:t>
                  </w:r>
                </w:p>
                <w:p>
                  <w:pPr>
                    <w:pStyle w:val="null3"/>
                    <w:jc w:val="both"/>
                  </w:pPr>
                  <w:r>
                    <w:rPr>
                      <w:sz w:val="21"/>
                    </w:rPr>
                    <w:t>极化方式：线极化</w:t>
                  </w:r>
                </w:p>
                <w:p>
                  <w:pPr>
                    <w:pStyle w:val="null3"/>
                    <w:jc w:val="both"/>
                  </w:pPr>
                  <w:r>
                    <w:rPr>
                      <w:sz w:val="21"/>
                    </w:rPr>
                    <w:t>防冲突：支持多标签读取</w:t>
                  </w:r>
                </w:p>
                <w:p>
                  <w:pPr>
                    <w:pStyle w:val="null3"/>
                    <w:jc w:val="both"/>
                  </w:pPr>
                  <w:r>
                    <w:rPr>
                      <w:sz w:val="21"/>
                    </w:rPr>
                    <w:t>数据保存：</w:t>
                  </w:r>
                  <w:r>
                    <w:rPr>
                      <w:sz w:val="21"/>
                    </w:rPr>
                    <w:t xml:space="preserve">50 </w:t>
                  </w:r>
                  <w:r>
                    <w:rPr>
                      <w:sz w:val="21"/>
                    </w:rPr>
                    <w:t>年及以上</w:t>
                  </w:r>
                </w:p>
                <w:p>
                  <w:pPr>
                    <w:pStyle w:val="null3"/>
                    <w:jc w:val="both"/>
                  </w:pPr>
                  <w:r>
                    <w:rPr>
                      <w:sz w:val="21"/>
                    </w:rPr>
                    <w:t>擦写次数：</w:t>
                  </w:r>
                  <w:r>
                    <w:rPr>
                      <w:sz w:val="21"/>
                    </w:rPr>
                    <w:t xml:space="preserve">10 </w:t>
                  </w:r>
                  <w:r>
                    <w:rPr>
                      <w:sz w:val="21"/>
                    </w:rPr>
                    <w:t>万次及以上</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档案架标签</w:t>
                  </w:r>
                </w:p>
              </w:tc>
              <w:tc>
                <w:tcPr>
                  <w:tcW w:type="dxa" w:w="4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封装材质：</w:t>
                  </w:r>
                  <w:r>
                    <w:rPr>
                      <w:sz w:val="21"/>
                    </w:rPr>
                    <w:t>ABS+</w:t>
                  </w:r>
                  <w:r>
                    <w:rPr>
                      <w:sz w:val="21"/>
                    </w:rPr>
                    <w:t>水晶滴胶</w:t>
                  </w:r>
                  <w:r>
                    <w:rPr>
                      <w:sz w:val="21"/>
                    </w:rPr>
                    <w:t>+</w:t>
                  </w:r>
                  <w:r>
                    <w:rPr>
                      <w:sz w:val="21"/>
                    </w:rPr>
                    <w:t>抗金属材料</w:t>
                  </w:r>
                </w:p>
                <w:p>
                  <w:pPr>
                    <w:pStyle w:val="null3"/>
                    <w:jc w:val="both"/>
                  </w:pPr>
                  <w:r>
                    <w:rPr>
                      <w:sz w:val="21"/>
                    </w:rPr>
                    <w:t>环境参数：</w:t>
                  </w:r>
                </w:p>
                <w:p>
                  <w:pPr>
                    <w:pStyle w:val="null3"/>
                    <w:jc w:val="both"/>
                  </w:pPr>
                  <w:r>
                    <w:rPr>
                      <w:sz w:val="21"/>
                    </w:rPr>
                    <w:t>建议工作温度：</w:t>
                  </w:r>
                  <w:r>
                    <w:rPr>
                      <w:sz w:val="21"/>
                    </w:rPr>
                    <w:t>-20</w:t>
                  </w:r>
                  <w:r>
                    <w:rPr>
                      <w:sz w:val="21"/>
                    </w:rPr>
                    <w:t>～</w:t>
                  </w:r>
                  <w:r>
                    <w:rPr>
                      <w:sz w:val="21"/>
                    </w:rPr>
                    <w:t>+65</w:t>
                  </w:r>
                  <w:r>
                    <w:rPr>
                      <w:sz w:val="21"/>
                    </w:rPr>
                    <w:t>°</w:t>
                  </w:r>
                  <w:r>
                    <w:rPr>
                      <w:sz w:val="21"/>
                    </w:rPr>
                    <w:t>C</w:t>
                  </w:r>
                </w:p>
                <w:p>
                  <w:pPr>
                    <w:pStyle w:val="null3"/>
                    <w:jc w:val="both"/>
                  </w:pPr>
                  <w:r>
                    <w:rPr>
                      <w:sz w:val="21"/>
                    </w:rPr>
                    <w:t>极限工作温度：</w:t>
                  </w:r>
                  <w:r>
                    <w:rPr>
                      <w:sz w:val="21"/>
                    </w:rPr>
                    <w:t>-40</w:t>
                  </w:r>
                  <w:r>
                    <w:rPr>
                      <w:sz w:val="21"/>
                    </w:rPr>
                    <w:t>～</w:t>
                  </w:r>
                  <w:r>
                    <w:rPr>
                      <w:sz w:val="21"/>
                    </w:rPr>
                    <w:t>+85</w:t>
                  </w:r>
                  <w:r>
                    <w:rPr>
                      <w:sz w:val="21"/>
                    </w:rPr>
                    <w:t>°</w:t>
                  </w:r>
                  <w:r>
                    <w:rPr>
                      <w:sz w:val="21"/>
                    </w:rPr>
                    <w:t>C</w:t>
                  </w:r>
                </w:p>
                <w:p>
                  <w:pPr>
                    <w:pStyle w:val="null3"/>
                    <w:jc w:val="both"/>
                  </w:pPr>
                  <w:r>
                    <w:rPr>
                      <w:sz w:val="21"/>
                    </w:rPr>
                    <w:t>贮存条件：</w:t>
                  </w:r>
                  <w:r>
                    <w:rPr>
                      <w:sz w:val="21"/>
                    </w:rPr>
                    <w:t>-20</w:t>
                  </w:r>
                  <w:r>
                    <w:rPr>
                      <w:sz w:val="21"/>
                    </w:rPr>
                    <w:t>～</w:t>
                  </w:r>
                  <w:r>
                    <w:rPr>
                      <w:sz w:val="21"/>
                    </w:rPr>
                    <w:t>+65</w:t>
                  </w:r>
                  <w:r>
                    <w:rPr>
                      <w:sz w:val="21"/>
                    </w:rPr>
                    <w:t>°</w:t>
                  </w:r>
                  <w:r>
                    <w:rPr>
                      <w:sz w:val="21"/>
                    </w:rPr>
                    <w:t>C/40%</w:t>
                  </w:r>
                  <w:r>
                    <w:rPr>
                      <w:sz w:val="21"/>
                    </w:rPr>
                    <w:t>～</w:t>
                  </w:r>
                  <w:r>
                    <w:rPr>
                      <w:sz w:val="21"/>
                    </w:rPr>
                    <w:t>70%RH</w:t>
                  </w:r>
                </w:p>
                <w:p>
                  <w:pPr>
                    <w:pStyle w:val="null3"/>
                    <w:jc w:val="both"/>
                  </w:pPr>
                  <w:r>
                    <w:rPr>
                      <w:sz w:val="21"/>
                    </w:rPr>
                    <w:t>性能参数：</w:t>
                  </w:r>
                </w:p>
                <w:p>
                  <w:pPr>
                    <w:pStyle w:val="null3"/>
                    <w:jc w:val="both"/>
                  </w:pPr>
                  <w:r>
                    <w:rPr>
                      <w:sz w:val="21"/>
                    </w:rPr>
                    <w:t>工作频段：</w:t>
                  </w:r>
                  <w:r>
                    <w:rPr>
                      <w:sz w:val="21"/>
                    </w:rPr>
                    <w:t>902MHz</w:t>
                  </w:r>
                  <w:r>
                    <w:rPr>
                      <w:sz w:val="21"/>
                    </w:rPr>
                    <w:t>～</w:t>
                  </w:r>
                  <w:r>
                    <w:rPr>
                      <w:sz w:val="21"/>
                    </w:rPr>
                    <w:t>928MHz</w:t>
                  </w:r>
                </w:p>
                <w:p>
                  <w:pPr>
                    <w:pStyle w:val="null3"/>
                    <w:jc w:val="both"/>
                  </w:pPr>
                  <w:r>
                    <w:rPr>
                      <w:sz w:val="21"/>
                    </w:rPr>
                    <w:t>符合标准：</w:t>
                  </w:r>
                  <w:r>
                    <w:rPr>
                      <w:sz w:val="21"/>
                    </w:rPr>
                    <w:t>ISO18000-6C/EPC-global C1G2</w:t>
                  </w:r>
                </w:p>
                <w:p>
                  <w:pPr>
                    <w:pStyle w:val="null3"/>
                    <w:jc w:val="both"/>
                  </w:pPr>
                  <w:r>
                    <w:rPr>
                      <w:sz w:val="21"/>
                    </w:rPr>
                    <w:t>工作模式：读</w:t>
                  </w:r>
                  <w:r>
                    <w:rPr>
                      <w:sz w:val="21"/>
                    </w:rPr>
                    <w:t>/</w:t>
                  </w:r>
                  <w:r>
                    <w:rPr>
                      <w:sz w:val="21"/>
                    </w:rPr>
                    <w:t>写</w:t>
                  </w:r>
                </w:p>
                <w:p>
                  <w:pPr>
                    <w:pStyle w:val="null3"/>
                    <w:jc w:val="both"/>
                  </w:pPr>
                  <w:r>
                    <w:rPr>
                      <w:sz w:val="21"/>
                    </w:rPr>
                    <w:t xml:space="preserve">TID </w:t>
                  </w:r>
                  <w:r>
                    <w:rPr>
                      <w:sz w:val="21"/>
                    </w:rPr>
                    <w:t>码：</w:t>
                  </w:r>
                  <w:r>
                    <w:rPr>
                      <w:sz w:val="21"/>
                    </w:rPr>
                    <w:t xml:space="preserve">96 </w:t>
                  </w:r>
                  <w:r>
                    <w:rPr>
                      <w:sz w:val="21"/>
                    </w:rPr>
                    <w:t>位</w:t>
                  </w:r>
                </w:p>
                <w:p>
                  <w:pPr>
                    <w:pStyle w:val="null3"/>
                    <w:jc w:val="both"/>
                  </w:pPr>
                  <w:r>
                    <w:rPr>
                      <w:sz w:val="21"/>
                    </w:rPr>
                    <w:t xml:space="preserve">EPC </w:t>
                  </w:r>
                  <w:r>
                    <w:rPr>
                      <w:sz w:val="21"/>
                    </w:rPr>
                    <w:t>码：</w:t>
                  </w:r>
                  <w:r>
                    <w:rPr>
                      <w:sz w:val="21"/>
                    </w:rPr>
                    <w:t xml:space="preserve">96 </w:t>
                  </w:r>
                  <w:r>
                    <w:rPr>
                      <w:sz w:val="21"/>
                    </w:rPr>
                    <w:t>位</w:t>
                  </w:r>
                </w:p>
                <w:p>
                  <w:pPr>
                    <w:pStyle w:val="null3"/>
                    <w:jc w:val="both"/>
                  </w:pPr>
                  <w:r>
                    <w:rPr>
                      <w:sz w:val="21"/>
                    </w:rPr>
                    <w:t>用户数据区：无</w:t>
                  </w:r>
                </w:p>
                <w:p>
                  <w:pPr>
                    <w:pStyle w:val="null3"/>
                    <w:jc w:val="both"/>
                  </w:pPr>
                  <w:r>
                    <w:rPr>
                      <w:sz w:val="21"/>
                    </w:rPr>
                    <w:t>读距离：</w:t>
                  </w:r>
                  <w:r>
                    <w:rPr>
                      <w:sz w:val="21"/>
                    </w:rPr>
                    <w:t>0-6m</w:t>
                  </w:r>
                  <w:r>
                    <w:rPr>
                      <w:sz w:val="21"/>
                    </w:rPr>
                    <w:t>（视读写器与天线配置而定）</w:t>
                  </w:r>
                </w:p>
                <w:p>
                  <w:pPr>
                    <w:pStyle w:val="null3"/>
                    <w:jc w:val="both"/>
                  </w:pPr>
                  <w:r>
                    <w:rPr>
                      <w:sz w:val="21"/>
                    </w:rPr>
                    <w:t>写距离：</w:t>
                  </w:r>
                  <w:r>
                    <w:rPr>
                      <w:sz w:val="21"/>
                    </w:rPr>
                    <w:t>0-2m</w:t>
                  </w:r>
                  <w:r>
                    <w:rPr>
                      <w:sz w:val="21"/>
                    </w:rPr>
                    <w:t>（视读写器与天线配置而定）</w:t>
                  </w:r>
                </w:p>
                <w:p>
                  <w:pPr>
                    <w:pStyle w:val="null3"/>
                    <w:jc w:val="both"/>
                  </w:pPr>
                  <w:r>
                    <w:rPr>
                      <w:sz w:val="21"/>
                    </w:rPr>
                    <w:t xml:space="preserve">IP </w:t>
                  </w:r>
                  <w:r>
                    <w:rPr>
                      <w:sz w:val="21"/>
                    </w:rPr>
                    <w:t>等级：</w:t>
                  </w:r>
                  <w:r>
                    <w:rPr>
                      <w:sz w:val="21"/>
                    </w:rPr>
                    <w:t>IP68</w:t>
                  </w:r>
                </w:p>
                <w:p>
                  <w:pPr>
                    <w:pStyle w:val="null3"/>
                    <w:jc w:val="both"/>
                  </w:pPr>
                  <w:r>
                    <w:rPr>
                      <w:sz w:val="21"/>
                    </w:rPr>
                    <w:t>数据保持时间：</w:t>
                  </w:r>
                  <w:r>
                    <w:rPr>
                      <w:sz w:val="21"/>
                    </w:rPr>
                    <w:t xml:space="preserve">10 </w:t>
                  </w:r>
                  <w:r>
                    <w:rPr>
                      <w:sz w:val="21"/>
                    </w:rPr>
                    <w:t>年及以上</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桌面读写器</w:t>
                  </w:r>
                </w:p>
              </w:tc>
              <w:tc>
                <w:tcPr>
                  <w:tcW w:type="dxa" w:w="4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天线：根据应用选择天线，默认为</w:t>
                  </w:r>
                  <w:r>
                    <w:rPr>
                      <w:sz w:val="21"/>
                    </w:rPr>
                    <w:t>PCB</w:t>
                  </w:r>
                  <w:r>
                    <w:rPr>
                      <w:sz w:val="21"/>
                    </w:rPr>
                    <w:t>近场天线</w:t>
                  </w:r>
                </w:p>
                <w:p>
                  <w:pPr>
                    <w:pStyle w:val="null3"/>
                    <w:jc w:val="both"/>
                  </w:pPr>
                  <w:r>
                    <w:rPr>
                      <w:sz w:val="21"/>
                    </w:rPr>
                    <w:t>外壳：金属底壳</w:t>
                  </w:r>
                  <w:r>
                    <w:rPr>
                      <w:sz w:val="21"/>
                    </w:rPr>
                    <w:t>+</w:t>
                  </w:r>
                  <w:r>
                    <w:rPr>
                      <w:sz w:val="21"/>
                    </w:rPr>
                    <w:t>钢化玻璃面板</w:t>
                  </w:r>
                </w:p>
                <w:p>
                  <w:pPr>
                    <w:pStyle w:val="null3"/>
                    <w:jc w:val="both"/>
                  </w:pPr>
                  <w:r>
                    <w:rPr>
                      <w:sz w:val="21"/>
                    </w:rPr>
                    <w:t>性能参数</w:t>
                  </w:r>
                </w:p>
                <w:p>
                  <w:pPr>
                    <w:pStyle w:val="null3"/>
                    <w:jc w:val="both"/>
                  </w:pPr>
                  <w:r>
                    <w:rPr>
                      <w:sz w:val="21"/>
                    </w:rPr>
                    <w:t>协议支持：</w:t>
                  </w:r>
                  <w:r>
                    <w:rPr>
                      <w:sz w:val="21"/>
                    </w:rPr>
                    <w:t>EPCglobal C1 Gen 2 ISO 18000-6C</w:t>
                  </w:r>
                </w:p>
                <w:p>
                  <w:pPr>
                    <w:pStyle w:val="null3"/>
                    <w:jc w:val="both"/>
                  </w:pPr>
                  <w:r>
                    <w:rPr>
                      <w:sz w:val="21"/>
                    </w:rPr>
                    <w:t>频率支持：</w:t>
                  </w:r>
                  <w:r>
                    <w:rPr>
                      <w:sz w:val="21"/>
                    </w:rPr>
                    <w:t>865~868MHz/902</w:t>
                  </w:r>
                  <w:r>
                    <w:rPr>
                      <w:sz w:val="21"/>
                    </w:rPr>
                    <w:t>～</w:t>
                  </w:r>
                  <w:r>
                    <w:rPr>
                      <w:sz w:val="21"/>
                    </w:rPr>
                    <w:t>928MHz</w:t>
                  </w:r>
                  <w:r>
                    <w:rPr>
                      <w:sz w:val="21"/>
                    </w:rPr>
                    <w:t>（可以按不同国家或地区调整）</w:t>
                  </w:r>
                </w:p>
                <w:p>
                  <w:pPr>
                    <w:pStyle w:val="null3"/>
                    <w:jc w:val="both"/>
                  </w:pPr>
                  <w:r>
                    <w:rPr>
                      <w:sz w:val="21"/>
                    </w:rPr>
                    <w:t>跳频方式：以广谱跳频（</w:t>
                  </w:r>
                  <w:r>
                    <w:rPr>
                      <w:sz w:val="21"/>
                    </w:rPr>
                    <w:t>FHSS</w:t>
                  </w:r>
                  <w:r>
                    <w:rPr>
                      <w:sz w:val="21"/>
                    </w:rPr>
                    <w:t>）或定频发射方式工作</w:t>
                  </w:r>
                </w:p>
                <w:p>
                  <w:pPr>
                    <w:pStyle w:val="null3"/>
                    <w:jc w:val="both"/>
                  </w:pPr>
                  <w:r>
                    <w:rPr>
                      <w:sz w:val="21"/>
                    </w:rPr>
                    <w:t xml:space="preserve">RFID </w:t>
                  </w:r>
                  <w:r>
                    <w:rPr>
                      <w:sz w:val="21"/>
                    </w:rPr>
                    <w:t>读取速度：多标签识别性能＞</w:t>
                  </w:r>
                  <w:r>
                    <w:rPr>
                      <w:sz w:val="21"/>
                    </w:rPr>
                    <w:t>50</w:t>
                  </w:r>
                  <w:r>
                    <w:rPr>
                      <w:sz w:val="21"/>
                    </w:rPr>
                    <w:t>张标签</w:t>
                  </w:r>
                </w:p>
                <w:p>
                  <w:pPr>
                    <w:pStyle w:val="null3"/>
                    <w:jc w:val="both"/>
                  </w:pPr>
                  <w:r>
                    <w:rPr>
                      <w:sz w:val="21"/>
                    </w:rPr>
                    <w:t xml:space="preserve">RFID </w:t>
                  </w:r>
                  <w:r>
                    <w:rPr>
                      <w:sz w:val="21"/>
                    </w:rPr>
                    <w:t>读写功率：输出功率软件可调，步进间隔±</w:t>
                  </w:r>
                  <w:r>
                    <w:rPr>
                      <w:sz w:val="21"/>
                    </w:rPr>
                    <w:t>1db</w:t>
                  </w:r>
                  <w:r>
                    <w:rPr>
                      <w:sz w:val="21"/>
                    </w:rPr>
                    <w:t>，最大</w:t>
                  </w:r>
                  <w:r>
                    <w:rPr>
                      <w:sz w:val="21"/>
                    </w:rPr>
                    <w:t>26dbm</w:t>
                  </w:r>
                </w:p>
                <w:p>
                  <w:pPr>
                    <w:pStyle w:val="null3"/>
                    <w:jc w:val="both"/>
                  </w:pPr>
                  <w:r>
                    <w:rPr>
                      <w:sz w:val="21"/>
                    </w:rPr>
                    <w:t>标签缓存：</w:t>
                  </w:r>
                  <w:r>
                    <w:rPr>
                      <w:sz w:val="21"/>
                    </w:rPr>
                    <w:t>330</w:t>
                  </w:r>
                  <w:r>
                    <w:rPr>
                      <w:sz w:val="21"/>
                    </w:rPr>
                    <w:t>张及以上</w:t>
                  </w:r>
                  <w:r>
                    <w:rPr>
                      <w:sz w:val="21"/>
                    </w:rPr>
                    <w:t>@</w:t>
                  </w:r>
                  <w:r>
                    <w:rPr>
                      <w:sz w:val="21"/>
                    </w:rPr>
                    <w:t>最长</w:t>
                  </w:r>
                  <w:r>
                    <w:rPr>
                      <w:sz w:val="21"/>
                    </w:rPr>
                    <w:t>128bitsEPC</w:t>
                  </w:r>
                  <w:r>
                    <w:rPr>
                      <w:sz w:val="21"/>
                    </w:rPr>
                    <w:t>或</w:t>
                  </w:r>
                  <w:r>
                    <w:rPr>
                      <w:sz w:val="21"/>
                    </w:rPr>
                    <w:t>100</w:t>
                  </w:r>
                  <w:r>
                    <w:rPr>
                      <w:sz w:val="21"/>
                    </w:rPr>
                    <w:t>张</w:t>
                  </w:r>
                  <w:r>
                    <w:rPr>
                      <w:sz w:val="21"/>
                    </w:rPr>
                    <w:t>@</w:t>
                  </w:r>
                  <w:r>
                    <w:rPr>
                      <w:sz w:val="21"/>
                    </w:rPr>
                    <w:t>最长</w:t>
                  </w:r>
                  <w:r>
                    <w:rPr>
                      <w:sz w:val="21"/>
                    </w:rPr>
                    <w:t>496bitsEPC</w:t>
                  </w:r>
                </w:p>
                <w:p>
                  <w:pPr>
                    <w:pStyle w:val="null3"/>
                    <w:jc w:val="both"/>
                  </w:pPr>
                  <w:r>
                    <w:rPr>
                      <w:sz w:val="21"/>
                    </w:rPr>
                    <w:t xml:space="preserve">RSSI </w:t>
                  </w:r>
                  <w:r>
                    <w:rPr>
                      <w:sz w:val="21"/>
                    </w:rPr>
                    <w:t>强度检测：支持</w:t>
                  </w:r>
                </w:p>
                <w:p>
                  <w:pPr>
                    <w:pStyle w:val="null3"/>
                    <w:jc w:val="both"/>
                  </w:pPr>
                  <w:r>
                    <w:rPr>
                      <w:sz w:val="21"/>
                    </w:rPr>
                    <w:t>通讯接口：</w:t>
                  </w:r>
                  <w:r>
                    <w:rPr>
                      <w:sz w:val="21"/>
                    </w:rPr>
                    <w:t xml:space="preserve">"USB </w:t>
                  </w:r>
                  <w:r>
                    <w:rPr>
                      <w:sz w:val="21"/>
                    </w:rPr>
                    <w:t>免驱</w:t>
                  </w:r>
                  <w:r>
                    <w:rPr>
                      <w:sz w:val="21"/>
                    </w:rPr>
                    <w:t xml:space="preserve">Type-C </w:t>
                  </w:r>
                  <w:r>
                    <w:rPr>
                      <w:sz w:val="21"/>
                    </w:rPr>
                    <w:t>数据接口，支持</w:t>
                  </w:r>
                  <w:r>
                    <w:rPr>
                      <w:sz w:val="21"/>
                    </w:rPr>
                    <w:t>USB HID</w:t>
                  </w:r>
                  <w:r>
                    <w:rPr>
                      <w:sz w:val="21"/>
                    </w:rPr>
                    <w:t>仿真键盘（可选）接口</w:t>
                  </w:r>
                  <w:r>
                    <w:rPr>
                      <w:sz w:val="21"/>
                    </w:rPr>
                    <w:t>"</w:t>
                  </w:r>
                </w:p>
                <w:p>
                  <w:pPr>
                    <w:pStyle w:val="null3"/>
                    <w:jc w:val="both"/>
                  </w:pPr>
                  <w:r>
                    <w:rPr>
                      <w:sz w:val="21"/>
                    </w:rPr>
                    <w:t>指示灯：电子标签操作指示灯、电源灯、通讯灯</w:t>
                  </w:r>
                </w:p>
                <w:p>
                  <w:pPr>
                    <w:pStyle w:val="null3"/>
                    <w:jc w:val="both"/>
                  </w:pPr>
                  <w:r>
                    <w:rPr>
                      <w:sz w:val="21"/>
                    </w:rPr>
                    <w:t>认证：</w:t>
                  </w:r>
                  <w:r>
                    <w:rPr>
                      <w:sz w:val="21"/>
                    </w:rPr>
                    <w:t>ROHS</w:t>
                  </w:r>
                  <w:r>
                    <w:rPr>
                      <w:sz w:val="21"/>
                    </w:rPr>
                    <w:t>、</w:t>
                  </w:r>
                  <w:r>
                    <w:rPr>
                      <w:sz w:val="21"/>
                    </w:rPr>
                    <w:t>FCC</w:t>
                  </w:r>
                </w:p>
                <w:p>
                  <w:pPr>
                    <w:pStyle w:val="null3"/>
                    <w:jc w:val="both"/>
                  </w:pPr>
                  <w:r>
                    <w:rPr>
                      <w:sz w:val="21"/>
                    </w:rPr>
                    <w:t>环境参数</w:t>
                  </w:r>
                </w:p>
                <w:p>
                  <w:pPr>
                    <w:pStyle w:val="null3"/>
                    <w:jc w:val="both"/>
                  </w:pPr>
                  <w:r>
                    <w:rPr>
                      <w:sz w:val="21"/>
                    </w:rPr>
                    <w:t>工作温度：</w:t>
                  </w:r>
                  <w:r>
                    <w:rPr>
                      <w:sz w:val="21"/>
                    </w:rPr>
                    <w:t>-20</w:t>
                  </w:r>
                  <w:r>
                    <w:rPr>
                      <w:sz w:val="21"/>
                    </w:rPr>
                    <w:t>～</w:t>
                  </w:r>
                  <w:r>
                    <w:rPr>
                      <w:sz w:val="21"/>
                    </w:rPr>
                    <w:t>+70</w:t>
                  </w:r>
                  <w:r>
                    <w:rPr>
                      <w:sz w:val="21"/>
                    </w:rPr>
                    <w:t>℃</w:t>
                  </w:r>
                </w:p>
                <w:p>
                  <w:pPr>
                    <w:pStyle w:val="null3"/>
                    <w:jc w:val="both"/>
                  </w:pPr>
                  <w:r>
                    <w:rPr>
                      <w:sz w:val="21"/>
                    </w:rPr>
                    <w:t>存储温度：</w:t>
                  </w:r>
                  <w:r>
                    <w:rPr>
                      <w:sz w:val="21"/>
                    </w:rPr>
                    <w:t>-20</w:t>
                  </w:r>
                  <w:r>
                    <w:rPr>
                      <w:sz w:val="21"/>
                    </w:rPr>
                    <w:t>～</w:t>
                  </w:r>
                  <w:r>
                    <w:rPr>
                      <w:sz w:val="21"/>
                    </w:rPr>
                    <w:t>+85</w:t>
                  </w:r>
                  <w:r>
                    <w:rPr>
                      <w:sz w:val="21"/>
                    </w:rPr>
                    <w:t>℃</w:t>
                  </w:r>
                </w:p>
                <w:p>
                  <w:pPr>
                    <w:pStyle w:val="null3"/>
                    <w:jc w:val="both"/>
                  </w:pPr>
                  <w:r>
                    <w:rPr>
                      <w:sz w:val="21"/>
                    </w:rPr>
                    <w:t>工作湿度：</w:t>
                  </w:r>
                  <w:r>
                    <w:rPr>
                      <w:sz w:val="21"/>
                    </w:rPr>
                    <w:t>5%</w:t>
                  </w:r>
                  <w:r>
                    <w:rPr>
                      <w:sz w:val="21"/>
                    </w:rPr>
                    <w:t>～</w:t>
                  </w:r>
                  <w:r>
                    <w:rPr>
                      <w:sz w:val="21"/>
                    </w:rPr>
                    <w:t>95%RH</w:t>
                  </w:r>
                  <w:r>
                    <w:rPr>
                      <w:sz w:val="21"/>
                    </w:rPr>
                    <w:t>，无凝露</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RFID</w:t>
                  </w:r>
                  <w:r>
                    <w:rPr>
                      <w:sz w:val="21"/>
                    </w:rPr>
                    <w:t>手持机</w:t>
                  </w:r>
                  <w:r>
                    <w:rPr>
                      <w:sz w:val="21"/>
                    </w:rPr>
                    <w:t>+</w:t>
                  </w:r>
                  <w:r>
                    <w:rPr>
                      <w:sz w:val="21"/>
                    </w:rPr>
                    <w:t>二维条码模块</w:t>
                  </w:r>
                </w:p>
              </w:tc>
              <w:tc>
                <w:tcPr>
                  <w:tcW w:type="dxa" w:w="4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r>
                    <w:rPr>
                      <w:sz w:val="21"/>
                    </w:rPr>
                    <w:t>：</w:t>
                  </w:r>
                  <w:r>
                    <w:rPr>
                      <w:sz w:val="21"/>
                    </w:rPr>
                    <w:t>Cortex</w:t>
                  </w:r>
                  <w:r>
                    <w:rPr>
                      <w:sz w:val="21"/>
                    </w:rPr>
                    <w:t>™</w:t>
                  </w:r>
                  <w:r>
                    <w:rPr>
                      <w:sz w:val="21"/>
                    </w:rPr>
                    <w:t xml:space="preserve">-A53 </w:t>
                  </w:r>
                  <w:r>
                    <w:rPr>
                      <w:sz w:val="21"/>
                    </w:rPr>
                    <w:t>八核</w:t>
                  </w:r>
                  <w:r>
                    <w:rPr>
                      <w:sz w:val="21"/>
                    </w:rPr>
                    <w:t xml:space="preserve">1.8 GHz </w:t>
                  </w:r>
                  <w:r>
                    <w:rPr>
                      <w:sz w:val="21"/>
                    </w:rPr>
                    <w:t>及以上</w:t>
                  </w:r>
                </w:p>
                <w:p>
                  <w:pPr>
                    <w:pStyle w:val="null3"/>
                    <w:jc w:val="both"/>
                  </w:pPr>
                  <w:r>
                    <w:rPr>
                      <w:sz w:val="21"/>
                    </w:rPr>
                    <w:t>RAM+ROM</w:t>
                  </w:r>
                  <w:r>
                    <w:rPr>
                      <w:sz w:val="21"/>
                    </w:rPr>
                    <w:t>：</w:t>
                  </w:r>
                  <w:r>
                    <w:rPr>
                      <w:sz w:val="21"/>
                    </w:rPr>
                    <w:t xml:space="preserve">4GB+64GB </w:t>
                  </w:r>
                  <w:r>
                    <w:rPr>
                      <w:sz w:val="21"/>
                    </w:rPr>
                    <w:t>及以上</w:t>
                  </w:r>
                </w:p>
                <w:p>
                  <w:pPr>
                    <w:pStyle w:val="null3"/>
                    <w:jc w:val="both"/>
                  </w:pPr>
                  <w:r>
                    <w:rPr>
                      <w:sz w:val="21"/>
                    </w:rPr>
                    <w:t>拓展内存：</w:t>
                  </w:r>
                  <w:r>
                    <w:rPr>
                      <w:sz w:val="21"/>
                    </w:rPr>
                    <w:t>MicroSD (TF)</w:t>
                  </w:r>
                  <w:r>
                    <w:rPr>
                      <w:sz w:val="21"/>
                    </w:rPr>
                    <w:t>卡可扩展至</w:t>
                  </w:r>
                  <w:r>
                    <w:rPr>
                      <w:sz w:val="21"/>
                    </w:rPr>
                    <w:t>128 GB</w:t>
                  </w:r>
                </w:p>
                <w:p>
                  <w:pPr>
                    <w:pStyle w:val="null3"/>
                    <w:jc w:val="both"/>
                  </w:pPr>
                  <w:r>
                    <w:rPr>
                      <w:sz w:val="21"/>
                    </w:rPr>
                    <w:t>操作系统：</w:t>
                  </w:r>
                  <w:r>
                    <w:rPr>
                      <w:sz w:val="21"/>
                    </w:rPr>
                    <w:t xml:space="preserve">Android9.0 </w:t>
                  </w:r>
                  <w:r>
                    <w:rPr>
                      <w:sz w:val="21"/>
                    </w:rPr>
                    <w:t>及以上</w:t>
                  </w:r>
                </w:p>
                <w:p>
                  <w:pPr>
                    <w:pStyle w:val="null3"/>
                    <w:jc w:val="both"/>
                  </w:pPr>
                  <w:r>
                    <w:rPr>
                      <w:sz w:val="21"/>
                    </w:rPr>
                    <w:t>WLAN</w:t>
                  </w:r>
                  <w:r>
                    <w:rPr>
                      <w:sz w:val="21"/>
                    </w:rPr>
                    <w:t>：支持</w:t>
                  </w:r>
                  <w:r>
                    <w:rPr>
                      <w:sz w:val="21"/>
                    </w:rPr>
                    <w:t xml:space="preserve">IEEE802.11 a/b/g/n </w:t>
                  </w:r>
                  <w:r>
                    <w:rPr>
                      <w:sz w:val="21"/>
                    </w:rPr>
                    <w:t>协议（</w:t>
                  </w:r>
                  <w:r>
                    <w:rPr>
                      <w:sz w:val="21"/>
                    </w:rPr>
                    <w:t xml:space="preserve">2.4G/5G </w:t>
                  </w:r>
                  <w:r>
                    <w:rPr>
                      <w:sz w:val="21"/>
                    </w:rPr>
                    <w:t>双频），内置天线</w:t>
                  </w:r>
                </w:p>
                <w:p>
                  <w:pPr>
                    <w:pStyle w:val="null3"/>
                    <w:jc w:val="both"/>
                  </w:pPr>
                  <w:r>
                    <w:rPr>
                      <w:sz w:val="21"/>
                    </w:rPr>
                    <w:t>WWAN</w:t>
                  </w:r>
                  <w:r>
                    <w:rPr>
                      <w:sz w:val="21"/>
                    </w:rPr>
                    <w:t>：</w:t>
                  </w:r>
                </w:p>
                <w:p>
                  <w:pPr>
                    <w:pStyle w:val="null3"/>
                    <w:jc w:val="both"/>
                  </w:pPr>
                  <w:r>
                    <w:rPr>
                      <w:sz w:val="21"/>
                    </w:rPr>
                    <w:t>2G: 900/1800 MHz</w:t>
                  </w:r>
                </w:p>
                <w:p>
                  <w:pPr>
                    <w:pStyle w:val="null3"/>
                    <w:jc w:val="both"/>
                  </w:pPr>
                  <w:r>
                    <w:rPr>
                      <w:sz w:val="21"/>
                    </w:rPr>
                    <w:t>3G: 900/1900/2000/2100MHz</w:t>
                  </w:r>
                </w:p>
                <w:p>
                  <w:pPr>
                    <w:pStyle w:val="null3"/>
                    <w:jc w:val="both"/>
                  </w:pPr>
                  <w:r>
                    <w:rPr>
                      <w:sz w:val="21"/>
                    </w:rPr>
                    <w:t>4G: TDD-LTE: B38/B39/B40/B41 FDD-LTE:</w:t>
                  </w:r>
                </w:p>
                <w:p>
                  <w:pPr>
                    <w:pStyle w:val="null3"/>
                    <w:jc w:val="both"/>
                  </w:pPr>
                  <w:r>
                    <w:rPr>
                      <w:sz w:val="21"/>
                    </w:rPr>
                    <w:t>B1/B3/B5</w:t>
                  </w:r>
                </w:p>
                <w:p>
                  <w:pPr>
                    <w:pStyle w:val="null3"/>
                    <w:jc w:val="both"/>
                  </w:pPr>
                  <w:r>
                    <w:rPr>
                      <w:sz w:val="21"/>
                    </w:rPr>
                    <w:t>蓝牙：</w:t>
                  </w:r>
                  <w:r>
                    <w:rPr>
                      <w:sz w:val="21"/>
                    </w:rPr>
                    <w:t xml:space="preserve">Bluetooth 4.0 </w:t>
                  </w:r>
                  <w:r>
                    <w:rPr>
                      <w:sz w:val="21"/>
                    </w:rPr>
                    <w:t>及以上</w:t>
                  </w:r>
                </w:p>
                <w:p>
                  <w:pPr>
                    <w:pStyle w:val="null3"/>
                    <w:jc w:val="both"/>
                  </w:pPr>
                  <w:r>
                    <w:rPr>
                      <w:sz w:val="21"/>
                    </w:rPr>
                    <w:t>工作温度：</w:t>
                  </w:r>
                  <w:r>
                    <w:rPr>
                      <w:sz w:val="21"/>
                    </w:rPr>
                    <w:t>-20</w:t>
                  </w:r>
                  <w:r>
                    <w:rPr>
                      <w:sz w:val="21"/>
                    </w:rPr>
                    <w:t>°</w:t>
                  </w:r>
                  <w:r>
                    <w:rPr>
                      <w:sz w:val="21"/>
                    </w:rPr>
                    <w:t xml:space="preserve">C </w:t>
                  </w:r>
                  <w:r>
                    <w:rPr>
                      <w:sz w:val="21"/>
                    </w:rPr>
                    <w:t>至</w:t>
                  </w:r>
                  <w:r>
                    <w:rPr>
                      <w:sz w:val="21"/>
                    </w:rPr>
                    <w:t>50</w:t>
                  </w:r>
                  <w:r>
                    <w:rPr>
                      <w:sz w:val="21"/>
                    </w:rPr>
                    <w:t>°</w:t>
                  </w:r>
                  <w:r>
                    <w:rPr>
                      <w:sz w:val="21"/>
                    </w:rPr>
                    <w:t>C</w:t>
                  </w:r>
                </w:p>
                <w:p>
                  <w:pPr>
                    <w:pStyle w:val="null3"/>
                    <w:jc w:val="both"/>
                  </w:pPr>
                  <w:r>
                    <w:rPr>
                      <w:sz w:val="21"/>
                    </w:rPr>
                    <w:t>储存温度：</w:t>
                  </w:r>
                  <w:r>
                    <w:rPr>
                      <w:sz w:val="21"/>
                    </w:rPr>
                    <w:t>-40</w:t>
                  </w:r>
                  <w:r>
                    <w:rPr>
                      <w:sz w:val="21"/>
                    </w:rPr>
                    <w:t>°</w:t>
                  </w:r>
                  <w:r>
                    <w:rPr>
                      <w:sz w:val="21"/>
                    </w:rPr>
                    <w:t xml:space="preserve">C </w:t>
                  </w:r>
                  <w:r>
                    <w:rPr>
                      <w:sz w:val="21"/>
                    </w:rPr>
                    <w:t>至</w:t>
                  </w:r>
                  <w:r>
                    <w:rPr>
                      <w:sz w:val="21"/>
                    </w:rPr>
                    <w:t>70</w:t>
                  </w:r>
                  <w:r>
                    <w:rPr>
                      <w:sz w:val="21"/>
                    </w:rPr>
                    <w:t>°</w:t>
                  </w:r>
                  <w:r>
                    <w:rPr>
                      <w:sz w:val="21"/>
                    </w:rPr>
                    <w:t>C</w:t>
                  </w:r>
                </w:p>
                <w:p>
                  <w:pPr>
                    <w:pStyle w:val="null3"/>
                    <w:jc w:val="both"/>
                  </w:pPr>
                  <w:r>
                    <w:rPr>
                      <w:sz w:val="21"/>
                    </w:rPr>
                    <w:t>环境湿度：</w:t>
                  </w:r>
                  <w:r>
                    <w:rPr>
                      <w:sz w:val="21"/>
                    </w:rPr>
                    <w:t>5% RH - 95% RH</w:t>
                  </w:r>
                  <w:r>
                    <w:rPr>
                      <w:sz w:val="21"/>
                    </w:rPr>
                    <w:t>（无凝结）；在操作温度范围内，</w:t>
                  </w:r>
                  <w:r>
                    <w:rPr>
                      <w:sz w:val="21"/>
                    </w:rPr>
                    <w:t>6</w:t>
                  </w:r>
                  <w:r>
                    <w:rPr>
                      <w:sz w:val="21"/>
                    </w:rPr>
                    <w:t>面均能承受多次从</w:t>
                  </w:r>
                  <w:r>
                    <w:rPr>
                      <w:sz w:val="21"/>
                    </w:rPr>
                    <w:t>1.5</w:t>
                  </w:r>
                  <w:r>
                    <w:rPr>
                      <w:sz w:val="21"/>
                    </w:rPr>
                    <w:t>米高度跌落至混凝土</w:t>
                  </w:r>
                </w:p>
                <w:p>
                  <w:pPr>
                    <w:pStyle w:val="null3"/>
                    <w:jc w:val="both"/>
                  </w:pPr>
                  <w:r>
                    <w:rPr>
                      <w:sz w:val="21"/>
                    </w:rPr>
                    <w:t>电源：可拆卸；底部</w:t>
                  </w:r>
                  <w:r>
                    <w:rPr>
                      <w:sz w:val="21"/>
                    </w:rPr>
                    <w:t xml:space="preserve">Type C USB </w:t>
                  </w:r>
                  <w:r>
                    <w:rPr>
                      <w:sz w:val="21"/>
                    </w:rPr>
                    <w:t>接口，支持</w:t>
                  </w:r>
                  <w:r>
                    <w:rPr>
                      <w:sz w:val="21"/>
                    </w:rPr>
                    <w:t xml:space="preserve">QC3.0 </w:t>
                  </w:r>
                  <w:r>
                    <w:rPr>
                      <w:sz w:val="21"/>
                    </w:rPr>
                    <w:t>快充，</w:t>
                  </w:r>
                </w:p>
                <w:p>
                  <w:pPr>
                    <w:pStyle w:val="null3"/>
                    <w:jc w:val="both"/>
                  </w:pPr>
                  <w:r>
                    <w:rPr>
                      <w:sz w:val="21"/>
                    </w:rPr>
                    <w:t>智能识别</w:t>
                  </w:r>
                  <w:r>
                    <w:rPr>
                      <w:sz w:val="21"/>
                    </w:rPr>
                    <w:t>PC</w:t>
                  </w:r>
                  <w:r>
                    <w:rPr>
                      <w:sz w:val="21"/>
                    </w:rPr>
                    <w:t>及充电器；支持手柄充电座充电</w:t>
                  </w:r>
                </w:p>
                <w:p>
                  <w:pPr>
                    <w:pStyle w:val="null3"/>
                    <w:jc w:val="both"/>
                  </w:pPr>
                  <w:r>
                    <w:rPr>
                      <w:sz w:val="21"/>
                    </w:rPr>
                    <w:t>中国频率：</w:t>
                  </w:r>
                  <w:r>
                    <w:rPr>
                      <w:sz w:val="21"/>
                    </w:rPr>
                    <w:t>920-925 MHz</w:t>
                  </w:r>
                </w:p>
                <w:p>
                  <w:pPr>
                    <w:pStyle w:val="null3"/>
                    <w:jc w:val="both"/>
                  </w:pPr>
                  <w:r>
                    <w:rPr>
                      <w:sz w:val="21"/>
                    </w:rPr>
                    <w:t>美国频率：</w:t>
                  </w:r>
                  <w:r>
                    <w:rPr>
                      <w:sz w:val="21"/>
                    </w:rPr>
                    <w:t>902-928 MHz</w:t>
                  </w:r>
                </w:p>
                <w:p>
                  <w:pPr>
                    <w:pStyle w:val="null3"/>
                    <w:jc w:val="both"/>
                  </w:pPr>
                  <w:r>
                    <w:rPr>
                      <w:sz w:val="21"/>
                    </w:rPr>
                    <w:t>欧洲频率：</w:t>
                  </w:r>
                  <w:r>
                    <w:rPr>
                      <w:sz w:val="21"/>
                    </w:rPr>
                    <w:t>865-868 MHz</w:t>
                  </w:r>
                  <w:r>
                    <w:rPr>
                      <w:sz w:val="21"/>
                    </w:rPr>
                    <w:t>（</w:t>
                  </w:r>
                  <w:r>
                    <w:rPr>
                      <w:sz w:val="21"/>
                    </w:rPr>
                    <w:t>ETSI EN 302 208</w:t>
                  </w:r>
                  <w:r>
                    <w:rPr>
                      <w:sz w:val="21"/>
                    </w:rPr>
                    <w:t>）</w:t>
                  </w:r>
                </w:p>
                <w:p>
                  <w:pPr>
                    <w:pStyle w:val="null3"/>
                    <w:jc w:val="both"/>
                  </w:pPr>
                  <w:r>
                    <w:rPr>
                      <w:sz w:val="21"/>
                    </w:rPr>
                    <w:t>引擎：</w:t>
                  </w:r>
                  <w:r>
                    <w:rPr>
                      <w:sz w:val="21"/>
                    </w:rPr>
                    <w:t>CM2000-1</w:t>
                  </w:r>
                  <w:r>
                    <w:rPr>
                      <w:sz w:val="21"/>
                    </w:rPr>
                    <w:t>，基于</w:t>
                  </w:r>
                  <w:r>
                    <w:rPr>
                      <w:sz w:val="21"/>
                    </w:rPr>
                    <w:t>Impinj Indy R2000</w:t>
                  </w:r>
                </w:p>
                <w:p>
                  <w:pPr>
                    <w:pStyle w:val="null3"/>
                    <w:jc w:val="both"/>
                  </w:pPr>
                  <w:r>
                    <w:rPr>
                      <w:sz w:val="21"/>
                    </w:rPr>
                    <w:t>协议标准：</w:t>
                  </w:r>
                  <w:r>
                    <w:rPr>
                      <w:sz w:val="21"/>
                    </w:rPr>
                    <w:t>EPC C1 GEN2 / ISO18000-6C</w:t>
                  </w:r>
                </w:p>
                <w:p>
                  <w:pPr>
                    <w:pStyle w:val="null3"/>
                    <w:jc w:val="both"/>
                  </w:pPr>
                  <w:r>
                    <w:rPr>
                      <w:sz w:val="21"/>
                    </w:rPr>
                    <w:t>天线参数：线极化天线（</w:t>
                  </w:r>
                  <w:r>
                    <w:rPr>
                      <w:sz w:val="21"/>
                    </w:rPr>
                    <w:t>1.8 dBi</w:t>
                  </w:r>
                  <w:r>
                    <w:rPr>
                      <w:sz w:val="21"/>
                    </w:rPr>
                    <w:t>）</w:t>
                  </w:r>
                  <w:r>
                    <w:rPr>
                      <w:sz w:val="21"/>
                    </w:rPr>
                    <w:t>/</w:t>
                  </w:r>
                  <w:r>
                    <w:rPr>
                      <w:sz w:val="21"/>
                    </w:rPr>
                    <w:t>圆极化天线（</w:t>
                  </w:r>
                  <w:r>
                    <w:rPr>
                      <w:sz w:val="21"/>
                    </w:rPr>
                    <w:t>4dBi</w:t>
                  </w:r>
                  <w:r>
                    <w:rPr>
                      <w:sz w:val="21"/>
                    </w:rPr>
                    <w:t>）</w:t>
                  </w:r>
                </w:p>
                <w:p>
                  <w:pPr>
                    <w:pStyle w:val="null3"/>
                    <w:jc w:val="both"/>
                  </w:pPr>
                  <w:r>
                    <w:rPr>
                      <w:sz w:val="21"/>
                    </w:rPr>
                    <w:t>功率：</w:t>
                  </w:r>
                  <w:r>
                    <w:rPr>
                      <w:sz w:val="21"/>
                    </w:rPr>
                    <w:t>1 W</w:t>
                  </w:r>
                  <w:r>
                    <w:rPr>
                      <w:sz w:val="21"/>
                    </w:rPr>
                    <w:t>（</w:t>
                  </w:r>
                  <w:r>
                    <w:rPr>
                      <w:sz w:val="21"/>
                    </w:rPr>
                    <w:t>30 dBm</w:t>
                  </w:r>
                  <w:r>
                    <w:rPr>
                      <w:sz w:val="21"/>
                    </w:rPr>
                    <w:t>，支持</w:t>
                  </w:r>
                  <w:r>
                    <w:rPr>
                      <w:sz w:val="21"/>
                    </w:rPr>
                    <w:t xml:space="preserve">+5 dBm ~ +30 dBm </w:t>
                  </w:r>
                  <w:r>
                    <w:rPr>
                      <w:sz w:val="21"/>
                    </w:rPr>
                    <w:t>调节）；可选</w:t>
                  </w:r>
                  <w:r>
                    <w:rPr>
                      <w:sz w:val="21"/>
                    </w:rPr>
                    <w:t>2W</w:t>
                  </w:r>
                  <w:r>
                    <w:rPr>
                      <w:sz w:val="21"/>
                    </w:rPr>
                    <w:t>（</w:t>
                  </w:r>
                  <w:r>
                    <w:rPr>
                      <w:sz w:val="21"/>
                    </w:rPr>
                    <w:t>33 dBm</w:t>
                  </w:r>
                  <w:r>
                    <w:rPr>
                      <w:sz w:val="21"/>
                    </w:rPr>
                    <w:t>，用于</w:t>
                  </w:r>
                  <w:r>
                    <w:rPr>
                      <w:sz w:val="21"/>
                    </w:rPr>
                    <w:t xml:space="preserve">Latin America </w:t>
                  </w:r>
                  <w:r>
                    <w:rPr>
                      <w:sz w:val="21"/>
                    </w:rPr>
                    <w:t>等）室外空旷环境，</w:t>
                  </w:r>
                  <w:r>
                    <w:rPr>
                      <w:sz w:val="21"/>
                    </w:rPr>
                    <w:t>25n</w:t>
                  </w:r>
                  <w:r>
                    <w:rPr>
                      <w:sz w:val="21"/>
                    </w:rPr>
                    <w:t>米（</w:t>
                  </w:r>
                  <w:r>
                    <w:rPr>
                      <w:sz w:val="21"/>
                    </w:rPr>
                    <w:t xml:space="preserve">R </w:t>
                  </w:r>
                  <w:r>
                    <w:rPr>
                      <w:sz w:val="21"/>
                    </w:rPr>
                    <w:t>圆极化，室内）；＞</w:t>
                  </w:r>
                  <w:r>
                    <w:rPr>
                      <w:sz w:val="21"/>
                    </w:rPr>
                    <w:t xml:space="preserve">15 </w:t>
                  </w:r>
                  <w:r>
                    <w:rPr>
                      <w:sz w:val="21"/>
                    </w:rPr>
                    <w:t>米（圆极化），</w:t>
                  </w:r>
                </w:p>
                <w:p>
                  <w:pPr>
                    <w:pStyle w:val="null3"/>
                    <w:jc w:val="both"/>
                  </w:pPr>
                  <w:r>
                    <w:rPr>
                      <w:sz w:val="21"/>
                    </w:rPr>
                    <w:t>读卡距离：</w:t>
                  </w:r>
                  <w:r>
                    <w:rPr>
                      <w:sz w:val="21"/>
                    </w:rPr>
                    <w:t xml:space="preserve">Impij </w:t>
                  </w:r>
                  <w:r>
                    <w:rPr>
                      <w:sz w:val="21"/>
                    </w:rPr>
                    <w:t>室外空旷标环签境））；＞</w:t>
                  </w:r>
                  <w:r>
                    <w:rPr>
                      <w:sz w:val="21"/>
                    </w:rPr>
                    <w:t xml:space="preserve">21 </w:t>
                  </w:r>
                  <w:r>
                    <w:rPr>
                      <w:sz w:val="21"/>
                    </w:rPr>
                    <w:t>米（线极化，室内）；＞</w:t>
                  </w:r>
                  <w:r>
                    <w:rPr>
                      <w:sz w:val="21"/>
                    </w:rPr>
                    <w:t xml:space="preserve">7 </w:t>
                  </w:r>
                  <w:r>
                    <w:rPr>
                      <w:sz w:val="21"/>
                    </w:rPr>
                    <w:t>米（线极可达</w:t>
                  </w:r>
                  <w:r>
                    <w:rPr>
                      <w:sz w:val="21"/>
                    </w:rPr>
                    <w:t>900 tags/s</w:t>
                  </w:r>
                  <w:r>
                    <w:rPr>
                      <w:sz w:val="21"/>
                    </w:rPr>
                    <w:t>（圆极化）</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RFID</w:t>
                  </w:r>
                  <w:r>
                    <w:rPr>
                      <w:sz w:val="21"/>
                    </w:rPr>
                    <w:t>打印机</w:t>
                  </w:r>
                </w:p>
              </w:tc>
              <w:tc>
                <w:tcPr>
                  <w:tcW w:type="dxa" w:w="4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主要参数</w:t>
                  </w:r>
                </w:p>
                <w:p>
                  <w:pPr>
                    <w:pStyle w:val="null3"/>
                    <w:jc w:val="both"/>
                  </w:pPr>
                  <w:r>
                    <w:rPr>
                      <w:sz w:val="21"/>
                    </w:rPr>
                    <w:t>打印方式：热转印</w:t>
                  </w:r>
                </w:p>
                <w:p>
                  <w:pPr>
                    <w:pStyle w:val="null3"/>
                    <w:jc w:val="both"/>
                  </w:pPr>
                  <w:r>
                    <w:rPr>
                      <w:sz w:val="21"/>
                    </w:rPr>
                    <w:t>分辨率：至少</w:t>
                  </w:r>
                  <w:r>
                    <w:rPr>
                      <w:sz w:val="21"/>
                    </w:rPr>
                    <w:t>300 dpi</w:t>
                  </w:r>
                </w:p>
                <w:p>
                  <w:pPr>
                    <w:pStyle w:val="null3"/>
                    <w:jc w:val="both"/>
                  </w:pPr>
                  <w:r>
                    <w:rPr>
                      <w:sz w:val="21"/>
                    </w:rPr>
                    <w:t>最大打印速度：</w:t>
                  </w:r>
                  <w:r>
                    <w:rPr>
                      <w:sz w:val="21"/>
                    </w:rPr>
                    <w:t>6 ips</w:t>
                  </w:r>
                  <w:r>
                    <w:rPr>
                      <w:sz w:val="21"/>
                    </w:rPr>
                    <w:t>（</w:t>
                  </w:r>
                  <w:r>
                    <w:rPr>
                      <w:sz w:val="21"/>
                    </w:rPr>
                    <w:t>153 mm/s</w:t>
                  </w:r>
                  <w:r>
                    <w:rPr>
                      <w:sz w:val="21"/>
                    </w:rPr>
                    <w:t>）</w:t>
                  </w:r>
                </w:p>
                <w:p>
                  <w:pPr>
                    <w:pStyle w:val="null3"/>
                    <w:jc w:val="both"/>
                  </w:pPr>
                  <w:r>
                    <w:rPr>
                      <w:sz w:val="21"/>
                    </w:rPr>
                    <w:t>最大打印宽度：</w:t>
                  </w:r>
                  <w:r>
                    <w:rPr>
                      <w:sz w:val="21"/>
                    </w:rPr>
                    <w:t>4.17</w:t>
                  </w:r>
                  <w:r>
                    <w:rPr>
                      <w:sz w:val="21"/>
                    </w:rPr>
                    <w:t>″</w:t>
                  </w:r>
                  <w:r>
                    <w:rPr>
                      <w:sz w:val="21"/>
                    </w:rPr>
                    <w:t>(106 mm)</w:t>
                  </w:r>
                </w:p>
                <w:p>
                  <w:pPr>
                    <w:pStyle w:val="null3"/>
                    <w:jc w:val="both"/>
                  </w:pPr>
                  <w:r>
                    <w:rPr>
                      <w:sz w:val="21"/>
                    </w:rPr>
                    <w:t>最大打印长度：</w:t>
                  </w:r>
                  <w:r>
                    <w:rPr>
                      <w:sz w:val="21"/>
                    </w:rPr>
                    <w:t>157</w:t>
                  </w:r>
                  <w:r>
                    <w:rPr>
                      <w:sz w:val="21"/>
                    </w:rPr>
                    <w:t>″</w:t>
                  </w:r>
                  <w:r>
                    <w:rPr>
                      <w:sz w:val="21"/>
                    </w:rPr>
                    <w:t>(4000 mm)</w:t>
                  </w:r>
                </w:p>
                <w:p>
                  <w:pPr>
                    <w:pStyle w:val="null3"/>
                    <w:jc w:val="both"/>
                  </w:pPr>
                  <w:r>
                    <w:rPr>
                      <w:sz w:val="21"/>
                    </w:rPr>
                    <w:t xml:space="preserve">RFID </w:t>
                  </w:r>
                  <w:r>
                    <w:rPr>
                      <w:sz w:val="21"/>
                    </w:rPr>
                    <w:t>功能：</w:t>
                  </w:r>
                  <w:r>
                    <w:rPr>
                      <w:sz w:val="21"/>
                    </w:rPr>
                    <w:t>集成的</w:t>
                  </w:r>
                  <w:r>
                    <w:rPr>
                      <w:sz w:val="21"/>
                    </w:rPr>
                    <w:t xml:space="preserve">UHF </w:t>
                  </w:r>
                  <w:r>
                    <w:rPr>
                      <w:sz w:val="21"/>
                    </w:rPr>
                    <w:t>读写器</w:t>
                  </w:r>
                  <w:r>
                    <w:rPr>
                      <w:sz w:val="21"/>
                    </w:rPr>
                    <w:t xml:space="preserve">/ </w:t>
                  </w:r>
                  <w:r>
                    <w:rPr>
                      <w:sz w:val="21"/>
                    </w:rPr>
                    <w:t>编码器（</w:t>
                  </w:r>
                  <w:r>
                    <w:rPr>
                      <w:sz w:val="21"/>
                    </w:rPr>
                    <w:t xml:space="preserve"> EPC Class 1Gen2/ISO 18000-6C</w:t>
                  </w:r>
                  <w:r>
                    <w:rPr>
                      <w:sz w:val="21"/>
                    </w:rPr>
                    <w:t>）</w:t>
                  </w:r>
                </w:p>
                <w:p>
                  <w:pPr>
                    <w:pStyle w:val="null3"/>
                    <w:jc w:val="both"/>
                  </w:pPr>
                  <w:r>
                    <w:rPr>
                      <w:sz w:val="21"/>
                    </w:rPr>
                    <w:t>内存：</w:t>
                  </w:r>
                  <w:r>
                    <w:rPr>
                      <w:sz w:val="21"/>
                    </w:rPr>
                    <w:t>8 MB FLASH ROM</w:t>
                  </w:r>
                  <w:r>
                    <w:rPr>
                      <w:sz w:val="21"/>
                    </w:rPr>
                    <w:t>，</w:t>
                  </w:r>
                  <w:r>
                    <w:rPr>
                      <w:sz w:val="21"/>
                    </w:rPr>
                    <w:t>16 MB SDRAM</w:t>
                  </w:r>
                </w:p>
                <w:p>
                  <w:pPr>
                    <w:pStyle w:val="null3"/>
                    <w:jc w:val="both"/>
                  </w:pPr>
                  <w:r>
                    <w:rPr>
                      <w:sz w:val="21"/>
                    </w:rPr>
                    <w:t>标签厚度：</w:t>
                  </w:r>
                  <w:r>
                    <w:rPr>
                      <w:sz w:val="21"/>
                    </w:rPr>
                    <w:t>0.08</w:t>
                  </w:r>
                  <w:r>
                    <w:rPr>
                      <w:sz w:val="21"/>
                    </w:rPr>
                    <w:t>－</w:t>
                  </w:r>
                  <w:r>
                    <w:rPr>
                      <w:sz w:val="21"/>
                    </w:rPr>
                    <w:t>0.20 mm (0.003</w:t>
                  </w:r>
                  <w:r>
                    <w:rPr>
                      <w:sz w:val="21"/>
                    </w:rPr>
                    <w:t>″－</w:t>
                  </w:r>
                  <w:r>
                    <w:rPr>
                      <w:sz w:val="21"/>
                    </w:rPr>
                    <w:t>0.008</w:t>
                  </w:r>
                  <w:r>
                    <w:rPr>
                      <w:sz w:val="21"/>
                    </w:rPr>
                    <w:t>″</w:t>
                  </w:r>
                  <w:r>
                    <w:rPr>
                      <w:sz w:val="21"/>
                    </w:rPr>
                    <w:t>)</w:t>
                  </w:r>
                  <w:r>
                    <w:rPr>
                      <w:sz w:val="21"/>
                    </w:rPr>
                    <w:t>，包括底纸厚度</w:t>
                  </w:r>
                </w:p>
                <w:p>
                  <w:pPr>
                    <w:pStyle w:val="null3"/>
                    <w:jc w:val="both"/>
                  </w:pPr>
                  <w:r>
                    <w:rPr>
                      <w:sz w:val="21"/>
                    </w:rPr>
                    <w:t>纸张探测方式：反射式（可移动）</w:t>
                  </w:r>
                  <w:r>
                    <w:rPr>
                      <w:sz w:val="21"/>
                    </w:rPr>
                    <w:t>/</w:t>
                  </w:r>
                  <w:r>
                    <w:rPr>
                      <w:sz w:val="21"/>
                    </w:rPr>
                    <w:t>穿透式</w:t>
                  </w:r>
                </w:p>
                <w:p>
                  <w:pPr>
                    <w:pStyle w:val="null3"/>
                    <w:jc w:val="both"/>
                  </w:pPr>
                  <w:r>
                    <w:rPr>
                      <w:sz w:val="21"/>
                    </w:rPr>
                    <w:t>字体：内置五种点阵字体和</w:t>
                  </w:r>
                  <w:r>
                    <w:rPr>
                      <w:sz w:val="21"/>
                    </w:rPr>
                    <w:t xml:space="preserve">24 </w:t>
                  </w:r>
                  <w:r>
                    <w:rPr>
                      <w:sz w:val="21"/>
                    </w:rPr>
                    <w:t>点阵中文宋体，支持下载</w:t>
                  </w:r>
                  <w:r>
                    <w:rPr>
                      <w:sz w:val="21"/>
                    </w:rPr>
                    <w:t xml:space="preserve">TrueType </w:t>
                  </w:r>
                  <w:r>
                    <w:rPr>
                      <w:sz w:val="21"/>
                    </w:rPr>
                    <w:t>字体</w:t>
                  </w:r>
                </w:p>
                <w:p>
                  <w:pPr>
                    <w:pStyle w:val="null3"/>
                    <w:jc w:val="both"/>
                  </w:pPr>
                  <w:r>
                    <w:rPr>
                      <w:sz w:val="21"/>
                    </w:rPr>
                    <w:t>条形码：</w:t>
                  </w:r>
                  <w:r>
                    <w:rPr>
                      <w:sz w:val="21"/>
                    </w:rPr>
                    <w:t>Code 39, Code 93, Code 128/subset A,B,C, Codabar,</w:t>
                  </w:r>
                </w:p>
                <w:p>
                  <w:pPr>
                    <w:pStyle w:val="null3"/>
                    <w:jc w:val="both"/>
                  </w:pPr>
                  <w:r>
                    <w:rPr>
                      <w:sz w:val="21"/>
                    </w:rPr>
                    <w:t xml:space="preserve">Interleave 2 of 5, UPC A/E 2and5add-on, EAN-13/8/128, UCC-128 </w:t>
                  </w:r>
                  <w:r>
                    <w:rPr>
                      <w:sz w:val="21"/>
                    </w:rPr>
                    <w:t>等一维条形码；</w:t>
                  </w:r>
                  <w:r>
                    <w:rPr>
                      <w:sz w:val="21"/>
                    </w:rPr>
                    <w:t xml:space="preserve">MaxiCode, PDF417, Data matrix, QR Code </w:t>
                  </w:r>
                  <w:r>
                    <w:rPr>
                      <w:sz w:val="21"/>
                    </w:rPr>
                    <w:t>等二维条形码</w:t>
                  </w:r>
                </w:p>
                <w:p>
                  <w:pPr>
                    <w:pStyle w:val="null3"/>
                    <w:jc w:val="both"/>
                  </w:pPr>
                  <w:r>
                    <w:rPr>
                      <w:sz w:val="21"/>
                    </w:rPr>
                    <w:t>接口类型：</w:t>
                  </w:r>
                  <w:r>
                    <w:rPr>
                      <w:sz w:val="21"/>
                    </w:rPr>
                    <w:t xml:space="preserve">RS-232 </w:t>
                  </w:r>
                  <w:r>
                    <w:rPr>
                      <w:sz w:val="21"/>
                    </w:rPr>
                    <w:t>串口，</w:t>
                  </w:r>
                  <w:r>
                    <w:rPr>
                      <w:sz w:val="21"/>
                    </w:rPr>
                    <w:t xml:space="preserve">10/100M-bit </w:t>
                  </w:r>
                  <w:r>
                    <w:rPr>
                      <w:sz w:val="21"/>
                    </w:rPr>
                    <w:t>以太网口，</w:t>
                  </w:r>
                  <w:r>
                    <w:rPr>
                      <w:sz w:val="21"/>
                    </w:rPr>
                    <w:t>USB</w:t>
                  </w:r>
                </w:p>
                <w:p>
                  <w:pPr>
                    <w:pStyle w:val="null3"/>
                    <w:jc w:val="both"/>
                  </w:pPr>
                  <w:r>
                    <w:rPr>
                      <w:sz w:val="21"/>
                    </w:rPr>
                    <w:t xml:space="preserve">DEVICE 2.0 </w:t>
                  </w:r>
                  <w:r>
                    <w:rPr>
                      <w:sz w:val="21"/>
                    </w:rPr>
                    <w:t>接口</w:t>
                  </w:r>
                  <w:r>
                    <w:rPr>
                      <w:sz w:val="21"/>
                    </w:rPr>
                    <w:t xml:space="preserve">, USB HOST </w:t>
                  </w:r>
                  <w:r>
                    <w:rPr>
                      <w:sz w:val="21"/>
                    </w:rPr>
                    <w:t>接口，</w:t>
                  </w:r>
                  <w:r>
                    <w:rPr>
                      <w:sz w:val="21"/>
                    </w:rPr>
                    <w:t xml:space="preserve">Centronics </w:t>
                  </w:r>
                  <w:r>
                    <w:rPr>
                      <w:sz w:val="21"/>
                    </w:rPr>
                    <w:t>并口（选配）</w:t>
                  </w:r>
                </w:p>
                <w:p>
                  <w:pPr>
                    <w:pStyle w:val="null3"/>
                    <w:jc w:val="both"/>
                  </w:pPr>
                  <w:r>
                    <w:rPr>
                      <w:sz w:val="21"/>
                    </w:rPr>
                    <w:t>电源适配器输入：交流</w:t>
                  </w:r>
                  <w:r>
                    <w:rPr>
                      <w:sz w:val="21"/>
                    </w:rPr>
                    <w:t>100 ~ 240 V</w:t>
                  </w:r>
                  <w:r>
                    <w:rPr>
                      <w:sz w:val="21"/>
                    </w:rPr>
                    <w:t>，</w:t>
                  </w:r>
                  <w:r>
                    <w:rPr>
                      <w:sz w:val="21"/>
                    </w:rPr>
                    <w:t>50/60 Hz</w:t>
                  </w:r>
                  <w:r>
                    <w:rPr>
                      <w:sz w:val="21"/>
                    </w:rPr>
                    <w:t>输出：直流</w:t>
                  </w:r>
                  <w:r>
                    <w:rPr>
                      <w:sz w:val="21"/>
                    </w:rPr>
                    <w:t>24 V</w:t>
                  </w:r>
                  <w:r>
                    <w:rPr>
                      <w:sz w:val="21"/>
                    </w:rPr>
                    <w:t>，</w:t>
                  </w:r>
                  <w:r>
                    <w:rPr>
                      <w:sz w:val="21"/>
                    </w:rPr>
                    <w:t>4.0 A</w:t>
                  </w:r>
                </w:p>
                <w:p>
                  <w:pPr>
                    <w:pStyle w:val="null3"/>
                    <w:jc w:val="both"/>
                  </w:pPr>
                  <w:r>
                    <w:rPr>
                      <w:sz w:val="21"/>
                    </w:rPr>
                    <w:t>工作环境</w:t>
                  </w:r>
                </w:p>
                <w:p>
                  <w:pPr>
                    <w:pStyle w:val="null3"/>
                    <w:jc w:val="both"/>
                  </w:pPr>
                  <w:r>
                    <w:rPr>
                      <w:sz w:val="21"/>
                    </w:rPr>
                    <w:t>温度：</w:t>
                  </w:r>
                  <w:r>
                    <w:rPr>
                      <w:sz w:val="21"/>
                    </w:rPr>
                    <w:t>0</w:t>
                  </w:r>
                  <w:r>
                    <w:rPr>
                      <w:sz w:val="21"/>
                    </w:rPr>
                    <w:t>℃</w:t>
                  </w:r>
                  <w:r>
                    <w:rPr>
                      <w:sz w:val="21"/>
                    </w:rPr>
                    <w:t>~ 40</w:t>
                  </w:r>
                  <w:r>
                    <w:rPr>
                      <w:sz w:val="21"/>
                    </w:rPr>
                    <w:t>℃</w:t>
                  </w:r>
                  <w:r>
                    <w:rPr>
                      <w:sz w:val="21"/>
                    </w:rPr>
                    <w:t>(32</w:t>
                  </w:r>
                  <w:r>
                    <w:rPr>
                      <w:sz w:val="21"/>
                    </w:rPr>
                    <w:t>°</w:t>
                  </w:r>
                  <w:r>
                    <w:rPr>
                      <w:sz w:val="21"/>
                    </w:rPr>
                    <w:t>F ~ +104</w:t>
                  </w:r>
                  <w:r>
                    <w:rPr>
                      <w:sz w:val="21"/>
                    </w:rPr>
                    <w:t>°</w:t>
                  </w:r>
                  <w:r>
                    <w:rPr>
                      <w:sz w:val="21"/>
                    </w:rPr>
                    <w:t>F)</w:t>
                  </w:r>
                  <w:r>
                    <w:rPr>
                      <w:sz w:val="21"/>
                    </w:rPr>
                    <w:t>；相对湿度：</w:t>
                  </w:r>
                  <w:r>
                    <w:rPr>
                      <w:sz w:val="21"/>
                    </w:rPr>
                    <w:t>5% ~ 85%</w:t>
                  </w:r>
                  <w:r>
                    <w:rPr>
                      <w:sz w:val="21"/>
                    </w:rPr>
                    <w:t>无凝露</w:t>
                  </w:r>
                </w:p>
                <w:p>
                  <w:pPr>
                    <w:pStyle w:val="null3"/>
                    <w:jc w:val="both"/>
                  </w:pPr>
                  <w:r>
                    <w:rPr>
                      <w:sz w:val="21"/>
                    </w:rPr>
                    <w:t>存储环境</w:t>
                  </w:r>
                </w:p>
                <w:p>
                  <w:pPr>
                    <w:pStyle w:val="null3"/>
                    <w:jc w:val="both"/>
                  </w:pPr>
                  <w:r>
                    <w:rPr>
                      <w:sz w:val="21"/>
                    </w:rPr>
                    <w:t>温度：</w:t>
                  </w:r>
                  <w:r>
                    <w:rPr>
                      <w:sz w:val="21"/>
                    </w:rPr>
                    <w:t>-30</w:t>
                  </w:r>
                  <w:r>
                    <w:rPr>
                      <w:sz w:val="21"/>
                    </w:rPr>
                    <w:t>℃</w:t>
                  </w:r>
                  <w:r>
                    <w:rPr>
                      <w:sz w:val="21"/>
                    </w:rPr>
                    <w:t>~ 60</w:t>
                  </w:r>
                  <w:r>
                    <w:rPr>
                      <w:sz w:val="21"/>
                    </w:rPr>
                    <w:t>℃</w:t>
                  </w:r>
                  <w:r>
                    <w:rPr>
                      <w:sz w:val="21"/>
                    </w:rPr>
                    <w:t>(-22</w:t>
                  </w:r>
                  <w:r>
                    <w:rPr>
                      <w:sz w:val="21"/>
                    </w:rPr>
                    <w:t>°</w:t>
                  </w:r>
                  <w:r>
                    <w:rPr>
                      <w:sz w:val="21"/>
                    </w:rPr>
                    <w:t>F ~ +140</w:t>
                  </w:r>
                  <w:r>
                    <w:rPr>
                      <w:sz w:val="21"/>
                    </w:rPr>
                    <w:t>°</w:t>
                  </w:r>
                  <w:r>
                    <w:rPr>
                      <w:sz w:val="21"/>
                    </w:rPr>
                    <w:t>F)</w:t>
                  </w:r>
                  <w:r>
                    <w:rPr>
                      <w:sz w:val="21"/>
                    </w:rPr>
                    <w:t>；相对湿度：</w:t>
                  </w:r>
                  <w:r>
                    <w:rPr>
                      <w:sz w:val="21"/>
                    </w:rPr>
                    <w:t>5% ~ 85%</w:t>
                  </w:r>
                  <w:r>
                    <w:rPr>
                      <w:sz w:val="21"/>
                    </w:rPr>
                    <w:t>无凝露</w:t>
                  </w:r>
                </w:p>
              </w:tc>
            </w:tr>
          </w:tbl>
          <w:p>
            <w:pPr>
              <w:pStyle w:val="null3"/>
              <w:ind w:firstLine="400"/>
            </w:pPr>
            <w:r>
              <w:rPr>
                <w:sz w:val="20"/>
              </w:rPr>
              <w:t>（</w:t>
            </w:r>
            <w:r>
              <w:rPr>
                <w:sz w:val="20"/>
              </w:rPr>
              <w:t>7</w:t>
            </w:r>
            <w:r>
              <w:rPr>
                <w:sz w:val="20"/>
              </w:rPr>
              <w:t>）</w:t>
            </w:r>
            <w:r>
              <w:rPr>
                <w:sz w:val="20"/>
              </w:rPr>
              <w:t>RFID</w:t>
            </w:r>
            <w:r>
              <w:rPr>
                <w:sz w:val="20"/>
              </w:rPr>
              <w:t>管理软件须具有但不限于以下功能：</w:t>
            </w:r>
          </w:p>
          <w:p>
            <w:pPr>
              <w:pStyle w:val="null3"/>
              <w:ind w:firstLine="400"/>
            </w:pPr>
            <w:r>
              <w:rPr>
                <w:sz w:val="20"/>
              </w:rPr>
              <w:t>1.</w:t>
            </w:r>
            <w:r>
              <w:rPr>
                <w:sz w:val="20"/>
              </w:rPr>
              <w:t>入库登记：通过</w:t>
            </w:r>
            <w:r>
              <w:rPr>
                <w:sz w:val="20"/>
              </w:rPr>
              <w:t>RFID</w:t>
            </w:r>
            <w:r>
              <w:rPr>
                <w:sz w:val="20"/>
              </w:rPr>
              <w:t>读写器批量读取标签自动录入系统，与案卷进行绑定；</w:t>
            </w:r>
          </w:p>
          <w:p>
            <w:pPr>
              <w:pStyle w:val="null3"/>
              <w:ind w:firstLine="400"/>
            </w:pPr>
            <w:r>
              <w:rPr>
                <w:sz w:val="20"/>
              </w:rPr>
              <w:t>2.</w:t>
            </w:r>
            <w:r>
              <w:rPr>
                <w:sz w:val="20"/>
              </w:rPr>
              <w:t>位置追踪：通过</w:t>
            </w:r>
            <w:r>
              <w:rPr>
                <w:sz w:val="20"/>
              </w:rPr>
              <w:t>RFID</w:t>
            </w:r>
            <w:r>
              <w:rPr>
                <w:sz w:val="20"/>
              </w:rPr>
              <w:t>手持移动终端快速查找到相应档案并发出声音提醒，实时监控档案所在区域；</w:t>
            </w:r>
          </w:p>
          <w:p>
            <w:pPr>
              <w:pStyle w:val="null3"/>
              <w:ind w:firstLine="400"/>
            </w:pPr>
            <w:r>
              <w:rPr>
                <w:sz w:val="20"/>
              </w:rPr>
              <w:t>3.</w:t>
            </w:r>
            <w:r>
              <w:rPr>
                <w:sz w:val="20"/>
              </w:rPr>
              <w:t>流转记录：通过</w:t>
            </w:r>
            <w:r>
              <w:rPr>
                <w:sz w:val="20"/>
              </w:rPr>
              <w:t>RFID</w:t>
            </w:r>
            <w:r>
              <w:rPr>
                <w:sz w:val="20"/>
              </w:rPr>
              <w:t>读写器快速办理档案出入库，记录档案流转信息；</w:t>
            </w:r>
          </w:p>
          <w:p>
            <w:pPr>
              <w:pStyle w:val="null3"/>
              <w:ind w:firstLine="400"/>
            </w:pPr>
            <w:r>
              <w:rPr>
                <w:sz w:val="20"/>
              </w:rPr>
              <w:t>4.</w:t>
            </w:r>
            <w:r>
              <w:rPr>
                <w:sz w:val="20"/>
              </w:rPr>
              <w:t>数据查询及统计分析：支持模糊检索</w:t>
            </w:r>
            <w:r>
              <w:rPr>
                <w:sz w:val="20"/>
              </w:rPr>
              <w:t>(</w:t>
            </w:r>
            <w:r>
              <w:rPr>
                <w:sz w:val="20"/>
              </w:rPr>
              <w:t>关键字、时间范围、类别</w:t>
            </w:r>
            <w:r>
              <w:rPr>
                <w:sz w:val="20"/>
              </w:rPr>
              <w:t>)</w:t>
            </w:r>
            <w:r>
              <w:rPr>
                <w:sz w:val="20"/>
              </w:rPr>
              <w:t>，系统显示档案实时位置及状态，可以进行统计分析。</w:t>
            </w:r>
          </w:p>
          <w:p>
            <w:pPr>
              <w:pStyle w:val="null3"/>
            </w:pPr>
            <w:r>
              <w:rPr>
                <w:sz w:val="20"/>
              </w:rPr>
              <w:t>6.</w:t>
            </w:r>
            <w:r>
              <w:rPr>
                <w:sz w:val="20"/>
              </w:rPr>
              <w:t>档案咨询、接待</w:t>
            </w:r>
          </w:p>
          <w:p>
            <w:pPr>
              <w:pStyle w:val="null3"/>
              <w:ind w:firstLine="400"/>
            </w:pPr>
            <w:r>
              <w:rPr>
                <w:sz w:val="20"/>
              </w:rPr>
              <w:t>（</w:t>
            </w:r>
            <w:r>
              <w:rPr>
                <w:sz w:val="20"/>
              </w:rPr>
              <w:t>1</w:t>
            </w:r>
            <w:r>
              <w:rPr>
                <w:sz w:val="20"/>
              </w:rPr>
              <w:t>）接听咨询电话，受理电子及纸质查档申请，记录借调信息（含分机号、年份、案号、来电时间等），查询档案详情、归档号，并安排调出或提供电子查阅，随后通知借调人办理手续。如档案不能调出需与借调人说明情况（档案已借出、未归档、上诉等情况）。</w:t>
            </w:r>
          </w:p>
          <w:p>
            <w:pPr>
              <w:pStyle w:val="null3"/>
              <w:ind w:firstLine="400"/>
            </w:pPr>
            <w:r>
              <w:rPr>
                <w:sz w:val="20"/>
              </w:rPr>
              <w:t>（</w:t>
            </w:r>
            <w:r>
              <w:rPr>
                <w:sz w:val="20"/>
              </w:rPr>
              <w:t>2</w:t>
            </w:r>
            <w:r>
              <w:rPr>
                <w:sz w:val="20"/>
              </w:rPr>
              <w:t>）接待查询或借调的单位及个人，包括外单位及本院工作人员，审核并接收借阅所需证件及证明。</w:t>
            </w:r>
          </w:p>
          <w:p>
            <w:pPr>
              <w:pStyle w:val="null3"/>
              <w:ind w:firstLine="400"/>
            </w:pPr>
            <w:r>
              <w:rPr>
                <w:sz w:val="20"/>
              </w:rPr>
              <w:t>（</w:t>
            </w:r>
            <w:r>
              <w:rPr>
                <w:sz w:val="20"/>
              </w:rPr>
              <w:t>3</w:t>
            </w:r>
            <w:r>
              <w:rPr>
                <w:sz w:val="20"/>
              </w:rPr>
              <w:t>）做好查借阅的登记，每月汇总查、借阅数量及情况，制作和生成查、借阅相关报表上报档案室。</w:t>
            </w:r>
          </w:p>
          <w:p>
            <w:pPr>
              <w:pStyle w:val="null3"/>
              <w:ind w:firstLine="400"/>
            </w:pPr>
            <w:r>
              <w:rPr>
                <w:sz w:val="20"/>
              </w:rPr>
              <w:t>（</w:t>
            </w:r>
            <w:r>
              <w:rPr>
                <w:sz w:val="20"/>
              </w:rPr>
              <w:t>4</w:t>
            </w:r>
            <w:r>
              <w:rPr>
                <w:sz w:val="20"/>
              </w:rPr>
              <w:t>）整理接收的查借阅申请材料，按时间先后装订成册。</w:t>
            </w:r>
          </w:p>
          <w:p>
            <w:pPr>
              <w:pStyle w:val="null3"/>
            </w:pPr>
            <w:r>
              <w:rPr>
                <w:sz w:val="20"/>
              </w:rPr>
              <w:t>7.</w:t>
            </w:r>
            <w:r>
              <w:rPr>
                <w:sz w:val="20"/>
              </w:rPr>
              <w:t>调档</w:t>
            </w:r>
          </w:p>
          <w:p>
            <w:pPr>
              <w:pStyle w:val="null3"/>
              <w:ind w:firstLine="400"/>
            </w:pPr>
            <w:r>
              <w:rPr>
                <w:sz w:val="20"/>
              </w:rPr>
              <w:t>（</w:t>
            </w:r>
            <w:r>
              <w:rPr>
                <w:sz w:val="20"/>
              </w:rPr>
              <w:t>1</w:t>
            </w:r>
            <w:r>
              <w:rPr>
                <w:sz w:val="20"/>
              </w:rPr>
              <w:t>）根据借调信息到档案所在库房把档案调出。已入库的档案到库房调出，未入库的档案到接收、打封面、扫描、著录、质检、装订、打印档案盒等各环节中借调并登记。</w:t>
            </w:r>
          </w:p>
          <w:p>
            <w:pPr>
              <w:pStyle w:val="null3"/>
              <w:ind w:firstLine="400"/>
            </w:pPr>
            <w:r>
              <w:rPr>
                <w:sz w:val="20"/>
              </w:rPr>
              <w:t>（</w:t>
            </w:r>
            <w:r>
              <w:rPr>
                <w:sz w:val="20"/>
              </w:rPr>
              <w:t>2</w:t>
            </w:r>
            <w:r>
              <w:rPr>
                <w:sz w:val="20"/>
              </w:rPr>
              <w:t>）档案归还检查核对（案件信息、卷数、册数、页数等），已利用档案按类型、年份划分并到库房按归档号顺序上架。</w:t>
            </w:r>
          </w:p>
          <w:p>
            <w:pPr>
              <w:pStyle w:val="null3"/>
            </w:pPr>
            <w:r>
              <w:rPr>
                <w:sz w:val="20"/>
              </w:rPr>
              <w:t>8.</w:t>
            </w:r>
            <w:r>
              <w:rPr>
                <w:sz w:val="20"/>
              </w:rPr>
              <w:t>档案入库上架</w:t>
            </w:r>
          </w:p>
          <w:p>
            <w:pPr>
              <w:pStyle w:val="null3"/>
              <w:ind w:firstLine="400"/>
            </w:pPr>
            <w:r>
              <w:rPr>
                <w:sz w:val="20"/>
              </w:rPr>
              <w:t>（</w:t>
            </w:r>
            <w:r>
              <w:rPr>
                <w:sz w:val="20"/>
              </w:rPr>
              <w:t>1</w:t>
            </w:r>
            <w:r>
              <w:rPr>
                <w:sz w:val="20"/>
              </w:rPr>
              <w:t>）已验收的档案及时分类装箱入库，按照符合相关规定和采购人要求将档案安全运送到指定库房。</w:t>
            </w:r>
          </w:p>
          <w:p>
            <w:pPr>
              <w:pStyle w:val="null3"/>
              <w:ind w:firstLine="400"/>
            </w:pPr>
            <w:r>
              <w:rPr>
                <w:sz w:val="20"/>
              </w:rPr>
              <w:t>（</w:t>
            </w:r>
            <w:r>
              <w:rPr>
                <w:sz w:val="20"/>
              </w:rPr>
              <w:t>2</w:t>
            </w:r>
            <w:r>
              <w:rPr>
                <w:sz w:val="20"/>
              </w:rPr>
              <w:t>）入库：档案按档案管理部门要求入库，完成档案上架。</w:t>
            </w:r>
          </w:p>
          <w:p>
            <w:pPr>
              <w:pStyle w:val="null3"/>
              <w:ind w:firstLine="400"/>
            </w:pPr>
            <w:r>
              <w:rPr>
                <w:sz w:val="20"/>
              </w:rPr>
              <w:t>（</w:t>
            </w:r>
            <w:r>
              <w:rPr>
                <w:sz w:val="20"/>
              </w:rPr>
              <w:t>3</w:t>
            </w:r>
            <w:r>
              <w:rPr>
                <w:sz w:val="20"/>
              </w:rPr>
              <w:t>）负责制作出库登记表、入库登记表以及盘点表等各类表格，并按时上报至档案室。</w:t>
            </w:r>
          </w:p>
          <w:p>
            <w:pPr>
              <w:pStyle w:val="null3"/>
            </w:pPr>
            <w:r>
              <w:rPr>
                <w:sz w:val="20"/>
              </w:rPr>
              <w:t>9.</w:t>
            </w:r>
            <w:r>
              <w:rPr>
                <w:sz w:val="20"/>
              </w:rPr>
              <w:t>其他工作</w:t>
            </w:r>
          </w:p>
          <w:p>
            <w:pPr>
              <w:pStyle w:val="null3"/>
              <w:ind w:firstLine="400"/>
            </w:pPr>
            <w:r>
              <w:rPr>
                <w:sz w:val="20"/>
              </w:rPr>
              <w:t>（</w:t>
            </w:r>
            <w:r>
              <w:rPr>
                <w:sz w:val="20"/>
              </w:rPr>
              <w:t>1</w:t>
            </w:r>
            <w:r>
              <w:rPr>
                <w:sz w:val="20"/>
              </w:rPr>
              <w:t>）档案新增材料归还检查、插入编页、补充扫描、二次装订和入库排序上架。</w:t>
            </w:r>
          </w:p>
          <w:p>
            <w:pPr>
              <w:pStyle w:val="null3"/>
              <w:ind w:firstLine="400"/>
            </w:pPr>
            <w:r>
              <w:rPr>
                <w:sz w:val="20"/>
              </w:rPr>
              <w:t>（</w:t>
            </w:r>
            <w:r>
              <w:rPr>
                <w:sz w:val="20"/>
              </w:rPr>
              <w:t>2</w:t>
            </w:r>
            <w:r>
              <w:rPr>
                <w:sz w:val="20"/>
              </w:rPr>
              <w:t>）全院文书打印工作</w:t>
            </w:r>
          </w:p>
          <w:p>
            <w:pPr>
              <w:pStyle w:val="null3"/>
              <w:ind w:firstLine="400"/>
            </w:pPr>
            <w:r>
              <w:rPr>
                <w:sz w:val="20"/>
              </w:rPr>
              <w:t>（</w:t>
            </w:r>
            <w:r>
              <w:rPr>
                <w:sz w:val="20"/>
              </w:rPr>
              <w:t>3</w:t>
            </w:r>
            <w:r>
              <w:rPr>
                <w:sz w:val="20"/>
              </w:rPr>
              <w:t>）配合档案大规模借调、档案搬迁。</w:t>
            </w:r>
          </w:p>
          <w:p>
            <w:pPr>
              <w:pStyle w:val="null3"/>
              <w:ind w:firstLine="400"/>
            </w:pPr>
            <w:r>
              <w:rPr>
                <w:sz w:val="20"/>
              </w:rPr>
              <w:t>（</w:t>
            </w:r>
            <w:r>
              <w:rPr>
                <w:sz w:val="20"/>
              </w:rPr>
              <w:t>4</w:t>
            </w:r>
            <w:r>
              <w:rPr>
                <w:sz w:val="20"/>
              </w:rPr>
              <w:t>）配合档案室完成上级检查前的工作准备。</w:t>
            </w:r>
          </w:p>
          <w:p>
            <w:pPr>
              <w:pStyle w:val="null3"/>
              <w:ind w:firstLine="400"/>
            </w:pPr>
            <w:r>
              <w:rPr>
                <w:sz w:val="20"/>
              </w:rPr>
              <w:t>（</w:t>
            </w:r>
            <w:r>
              <w:rPr>
                <w:sz w:val="20"/>
              </w:rPr>
              <w:t>5</w:t>
            </w:r>
            <w:r>
              <w:rPr>
                <w:sz w:val="20"/>
              </w:rPr>
              <w:t>）档案室管理员安排的其他相关工作。</w:t>
            </w:r>
          </w:p>
        </w:tc>
      </w:tr>
      <w:tr>
        <w:tc>
          <w:tcPr>
            <w:tcW w:type="dxa" w:w="2076"/>
          </w:tcPr>
          <w:p/>
        </w:tc>
        <w:tc>
          <w:tcPr>
            <w:tcW w:type="dxa" w:w="415"/>
          </w:tcPr>
          <w:p>
            <w:pPr>
              <w:pStyle w:val="null3"/>
            </w:pPr>
            <w:r>
              <w:rPr/>
              <w:t>4</w:t>
            </w:r>
          </w:p>
        </w:tc>
        <w:tc>
          <w:tcPr>
            <w:tcW w:type="dxa" w:w="5814"/>
          </w:tcPr>
          <w:p>
            <w:pPr>
              <w:pStyle w:val="null3"/>
            </w:pPr>
            <w:r>
              <w:rPr>
                <w:sz w:val="20"/>
                <w:b/>
              </w:rPr>
              <w:t>四、供应商设备投入需求</w:t>
            </w:r>
          </w:p>
          <w:tbl>
            <w:tblPr>
              <w:tblBorders>
                <w:top w:val="none" w:color="000000" w:sz="4"/>
                <w:left w:val="none" w:color="000000" w:sz="4"/>
                <w:bottom w:val="none" w:color="000000" w:sz="4"/>
                <w:right w:val="none" w:color="000000" w:sz="4"/>
                <w:insideH w:val="none"/>
                <w:insideV w:val="none"/>
              </w:tblBorders>
            </w:tblPr>
            <w:tblGrid>
              <w:gridCol w:w="554"/>
              <w:gridCol w:w="1662"/>
              <w:gridCol w:w="2714"/>
              <w:gridCol w:w="667"/>
            </w:tblGrid>
            <w:tr>
              <w:tc>
                <w:tcPr>
                  <w:tcW w:type="dxa" w:w="554"/>
                  <w:tcBorders>
                    <w:top w:val="double" w:color="000000" w:sz="4"/>
                    <w:left w:val="double" w:color="000000" w:sz="4"/>
                    <w:bottom w:val="single" w:color="000000" w:sz="4"/>
                    <w:right w:val="single" w:color="000000" w:sz="4"/>
                  </w:tcBorders>
                  <w:shd w:fill="E0E0E0"/>
                  <w:tcMar>
                    <w:top w:type="dxa" w:w="0"/>
                    <w:left w:type="dxa" w:w="105"/>
                    <w:bottom w:type="dxa" w:w="0"/>
                    <w:right w:type="dxa" w:w="105"/>
                  </w:tcMar>
                </w:tcPr>
                <w:p>
                  <w:pPr>
                    <w:pStyle w:val="null3"/>
                    <w:jc w:val="center"/>
                  </w:pPr>
                  <w:r>
                    <w:rPr>
                      <w:sz w:val="21"/>
                      <w:b/>
                    </w:rPr>
                    <w:t>类型</w:t>
                  </w:r>
                </w:p>
              </w:tc>
              <w:tc>
                <w:tcPr>
                  <w:tcW w:type="dxa" w:w="1662"/>
                  <w:tcBorders>
                    <w:top w:val="double" w:color="000000" w:sz="4"/>
                    <w:left w:val="none" w:color="000000" w:sz="4"/>
                    <w:bottom w:val="single" w:color="000000" w:sz="4"/>
                    <w:right w:val="single" w:color="000000" w:sz="4"/>
                  </w:tcBorders>
                  <w:shd w:fill="E0E0E0"/>
                  <w:tcMar>
                    <w:top w:type="dxa" w:w="0"/>
                    <w:left w:type="dxa" w:w="105"/>
                    <w:bottom w:type="dxa" w:w="0"/>
                    <w:right w:type="dxa" w:w="105"/>
                  </w:tcMar>
                </w:tcPr>
                <w:p>
                  <w:pPr>
                    <w:pStyle w:val="null3"/>
                    <w:jc w:val="center"/>
                  </w:pPr>
                  <w:r>
                    <w:rPr>
                      <w:sz w:val="21"/>
                      <w:b/>
                    </w:rPr>
                    <w:t>设备名称</w:t>
                  </w:r>
                </w:p>
              </w:tc>
              <w:tc>
                <w:tcPr>
                  <w:tcW w:type="dxa" w:w="2714"/>
                  <w:tcBorders>
                    <w:top w:val="double" w:color="000000" w:sz="4"/>
                    <w:left w:val="none" w:color="000000" w:sz="4"/>
                    <w:bottom w:val="single" w:color="000000" w:sz="4"/>
                    <w:right w:val="single" w:color="000000" w:sz="4"/>
                  </w:tcBorders>
                  <w:shd w:fill="E0E0E0"/>
                  <w:tcMar>
                    <w:top w:type="dxa" w:w="0"/>
                    <w:left w:type="dxa" w:w="105"/>
                    <w:bottom w:type="dxa" w:w="0"/>
                    <w:right w:type="dxa" w:w="105"/>
                  </w:tcMar>
                </w:tcPr>
                <w:p>
                  <w:pPr>
                    <w:pStyle w:val="null3"/>
                    <w:jc w:val="center"/>
                  </w:pPr>
                  <w:r>
                    <w:rPr>
                      <w:sz w:val="21"/>
                      <w:b/>
                    </w:rPr>
                    <w:t>说明</w:t>
                  </w:r>
                </w:p>
              </w:tc>
              <w:tc>
                <w:tcPr>
                  <w:tcW w:type="dxa" w:w="667"/>
                  <w:tcBorders>
                    <w:top w:val="double" w:color="000000" w:sz="4"/>
                    <w:left w:val="none" w:color="000000" w:sz="4"/>
                    <w:bottom w:val="single" w:color="000000" w:sz="4"/>
                    <w:right w:val="double" w:color="000000" w:sz="4"/>
                  </w:tcBorders>
                  <w:shd w:fill="E0E0E0"/>
                  <w:tcMar>
                    <w:top w:type="dxa" w:w="0"/>
                    <w:left w:type="dxa" w:w="105"/>
                    <w:bottom w:type="dxa" w:w="0"/>
                    <w:right w:type="dxa" w:w="105"/>
                  </w:tcMar>
                </w:tcPr>
                <w:p>
                  <w:pPr>
                    <w:pStyle w:val="null3"/>
                    <w:jc w:val="center"/>
                  </w:pPr>
                  <w:r>
                    <w:rPr>
                      <w:sz w:val="21"/>
                      <w:b/>
                    </w:rPr>
                    <w:t>数量</w:t>
                  </w:r>
                </w:p>
              </w:tc>
            </w:tr>
            <w:tr>
              <w:tc>
                <w:tcPr>
                  <w:tcW w:type="dxa" w:w="554"/>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软件</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中间库管理系统</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数据统计、数据展屏显示</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档案数字化加工软件</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计算机操作系统及档案数字化加工软件</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RFID</w:t>
                  </w:r>
                  <w:r>
                    <w:rPr>
                      <w:sz w:val="21"/>
                    </w:rPr>
                    <w:t>管理软件</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包括系统管理、档案信息管理、档案盘点管理、数据统计分析、档案移动盘点及搜索功能。2.提供上门1年培训、维护服务（费用已包含在报价中）。</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554"/>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硬件</w:t>
                  </w:r>
                </w:p>
                <w:p>
                  <w:pPr>
                    <w:pStyle w:val="null3"/>
                    <w:jc w:val="center"/>
                  </w:pPr>
                  <w:r>
                    <w:rPr>
                      <w:sz w:val="21"/>
                    </w:rPr>
                    <w:t>设备</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打印机</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日常办公使用和打印档案盒所需（激光打印机、档案盒专用打印机）、RFID打印机</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根据实际需求配置</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计算机</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用于日常工作和数字化</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根据实际需求配置</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扫描仪</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图像扫描设备（高速扫描仪、高拍仪、平板扫描仪）</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根据实际需求配置</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RFID</w:t>
                  </w:r>
                  <w:r>
                    <w:rPr>
                      <w:sz w:val="21"/>
                    </w:rPr>
                    <w:t>手持盘查机</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用于查找及盘点。2.最快的读取速度700多个标签/秒，读取范围：6米左右。</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RFID</w:t>
                  </w:r>
                  <w:r>
                    <w:rPr>
                      <w:sz w:val="21"/>
                    </w:rPr>
                    <w:t>盘点机</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收案及盘点所需</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台</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RFID</w:t>
                  </w:r>
                  <w:r>
                    <w:rPr>
                      <w:sz w:val="21"/>
                    </w:rPr>
                    <w:t>门禁采集器</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1"/>
                    </w:rPr>
                    <w:t>用于实时识别和记录档案的出入库情况，对档案出入进行监控和管理。如果相应的档案已授权出入，则门禁系统允许档案出入，否则进行记录并发出警报提示，需要电脑存储及显示相关数据。含一套门禁和一台电脑。</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套</w:t>
                  </w:r>
                </w:p>
              </w:tc>
            </w:tr>
            <w:tr>
              <w:tc>
                <w:tcPr>
                  <w:tcW w:type="dxa" w:w="554"/>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工具</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档案整理工具</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档案整理使用（打码器、起钉器、装订机、档案夹、剪刀、裁纸刀、锥子等）、档案运输使用（小推车、运转箱等）</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批</w:t>
                  </w:r>
                </w:p>
              </w:tc>
            </w:tr>
            <w:tr>
              <w:tc>
                <w:tcPr>
                  <w:tcW w:type="dxa" w:w="554"/>
                  <w:vMerge w:val="restart"/>
                  <w:tcBorders>
                    <w:top w:val="none" w:color="000000" w:sz="4"/>
                    <w:left w:val="doub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耗材</w:t>
                  </w: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设备耗材</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硒鼓、档案盒打印机墨盒、项目硬件设备维修维护及耗材、RFID标签辅材（7万条）</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批</w:t>
                  </w:r>
                </w:p>
              </w:tc>
            </w:tr>
            <w:tr>
              <w:tc>
                <w:tcPr>
                  <w:tcW w:type="dxa" w:w="554"/>
                  <w:vMerge/>
                  <w:tcBorders>
                    <w:top w:val="none" w:color="000000" w:sz="4"/>
                    <w:left w:val="double" w:color="000000" w:sz="4"/>
                    <w:bottom w:val="single" w:color="000000" w:sz="4"/>
                    <w:right w:val="single" w:color="000000" w:sz="4"/>
                  </w:tcBorders>
                </w:tcPr>
                <w:p/>
              </w:tc>
              <w:tc>
                <w:tcPr>
                  <w:tcW w:type="dxa" w:w="16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文具耗材</w:t>
                  </w:r>
                </w:p>
              </w:tc>
              <w:tc>
                <w:tcPr>
                  <w:tcW w:type="dxa" w:w="27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胶水、便笺纸、签字笔等</w:t>
                  </w:r>
                </w:p>
              </w:tc>
              <w:tc>
                <w:tcPr>
                  <w:tcW w:type="dxa" w:w="667"/>
                  <w:tcBorders>
                    <w:top w:val="none" w:color="000000" w:sz="4"/>
                    <w:left w:val="none" w:color="000000" w:sz="4"/>
                    <w:bottom w:val="single" w:color="000000" w:sz="4"/>
                    <w:right w:val="double" w:color="000000" w:sz="4"/>
                  </w:tcBorders>
                  <w:tcMar>
                    <w:top w:type="dxa" w:w="0"/>
                    <w:left w:type="dxa" w:w="105"/>
                    <w:bottom w:type="dxa" w:w="0"/>
                    <w:right w:type="dxa" w:w="105"/>
                  </w:tcMar>
                </w:tcPr>
                <w:p>
                  <w:pPr>
                    <w:pStyle w:val="null3"/>
                    <w:jc w:val="center"/>
                  </w:pPr>
                  <w:r>
                    <w:rPr>
                      <w:sz w:val="21"/>
                    </w:rPr>
                    <w:t>1</w:t>
                  </w:r>
                  <w:r>
                    <w:rPr>
                      <w:sz w:val="21"/>
                    </w:rPr>
                    <w:t>批</w:t>
                  </w:r>
                </w:p>
              </w:tc>
            </w:tr>
            <w:tr>
              <w:tc>
                <w:tcPr>
                  <w:tcW w:type="dxa" w:w="554"/>
                  <w:tcBorders>
                    <w:top w:val="none" w:color="000000" w:sz="4"/>
                    <w:left w:val="double" w:color="000000" w:sz="4"/>
                    <w:bottom w:val="double" w:color="000000" w:sz="4"/>
                    <w:right w:val="single" w:color="000000" w:sz="4"/>
                  </w:tcBorders>
                  <w:tcMar>
                    <w:top w:type="dxa" w:w="0"/>
                    <w:left w:type="dxa" w:w="105"/>
                    <w:bottom w:type="dxa" w:w="0"/>
                    <w:right w:type="dxa" w:w="105"/>
                  </w:tcMar>
                </w:tcPr>
                <w:p>
                  <w:pPr>
                    <w:pStyle w:val="null3"/>
                    <w:jc w:val="center"/>
                  </w:pPr>
                  <w:r>
                    <w:rPr>
                      <w:sz w:val="21"/>
                    </w:rPr>
                    <w:t>办公</w:t>
                  </w:r>
                </w:p>
                <w:p>
                  <w:pPr>
                    <w:pStyle w:val="null3"/>
                    <w:jc w:val="center"/>
                  </w:pPr>
                  <w:r>
                    <w:rPr>
                      <w:sz w:val="21"/>
                    </w:rPr>
                    <w:t>用品</w:t>
                  </w:r>
                </w:p>
              </w:tc>
              <w:tc>
                <w:tcPr>
                  <w:tcW w:type="dxa" w:w="4376"/>
                  <w:gridSpan w:val="2"/>
                  <w:tcBorders>
                    <w:top w:val="none" w:color="000000" w:sz="4"/>
                    <w:left w:val="none" w:color="000000" w:sz="4"/>
                    <w:bottom w:val="double" w:color="000000" w:sz="4"/>
                    <w:right w:val="single" w:color="000000" w:sz="4"/>
                  </w:tcBorders>
                  <w:tcMar>
                    <w:top w:type="dxa" w:w="0"/>
                    <w:left w:type="dxa" w:w="105"/>
                    <w:bottom w:type="dxa" w:w="0"/>
                    <w:right w:type="dxa" w:w="105"/>
                  </w:tcMar>
                </w:tcPr>
                <w:p>
                  <w:pPr>
                    <w:pStyle w:val="null3"/>
                    <w:jc w:val="center"/>
                  </w:pPr>
                  <w:r>
                    <w:rPr>
                      <w:sz w:val="21"/>
                    </w:rPr>
                    <w:t>个人物品存储柜、文具等</w:t>
                  </w:r>
                </w:p>
              </w:tc>
              <w:tc>
                <w:tcPr>
                  <w:tcW w:type="dxa" w:w="667"/>
                  <w:tcBorders>
                    <w:top w:val="none" w:color="000000" w:sz="4"/>
                    <w:left w:val="none" w:color="000000" w:sz="4"/>
                    <w:bottom w:val="double" w:color="000000" w:sz="4"/>
                    <w:right w:val="double" w:color="000000" w:sz="4"/>
                  </w:tcBorders>
                  <w:tcMar>
                    <w:top w:type="dxa" w:w="0"/>
                    <w:left w:type="dxa" w:w="105"/>
                    <w:bottom w:type="dxa" w:w="0"/>
                    <w:right w:type="dxa" w:w="105"/>
                  </w:tcMar>
                </w:tcPr>
                <w:p>
                  <w:pPr>
                    <w:pStyle w:val="null3"/>
                    <w:jc w:val="center"/>
                  </w:pPr>
                  <w:r>
                    <w:rPr>
                      <w:sz w:val="21"/>
                    </w:rPr>
                    <w:t>2</w:t>
                  </w:r>
                  <w:r>
                    <w:rPr>
                      <w:sz w:val="21"/>
                    </w:rPr>
                    <w:t>个</w:t>
                  </w:r>
                </w:p>
              </w:tc>
            </w:tr>
          </w:tbl>
          <w:p>
            <w:pPr>
              <w:pStyle w:val="null3"/>
            </w:pPr>
            <w:r>
              <w:rPr>
                <w:sz w:val="20"/>
              </w:rPr>
              <w:t>★要求如下（投标文件中提供承诺函）：</w:t>
            </w:r>
          </w:p>
          <w:p>
            <w:pPr>
              <w:pStyle w:val="null3"/>
              <w:ind w:firstLine="400"/>
            </w:pPr>
            <w:r>
              <w:rPr>
                <w:sz w:val="20"/>
              </w:rPr>
              <w:t>1.</w:t>
            </w:r>
            <w:r>
              <w:rPr>
                <w:sz w:val="20"/>
              </w:rPr>
              <w:t>本项目要求供应商于合同签订后</w:t>
            </w:r>
            <w:r>
              <w:rPr>
                <w:sz w:val="20"/>
              </w:rPr>
              <w:t>10</w:t>
            </w:r>
            <w:r>
              <w:rPr>
                <w:sz w:val="20"/>
              </w:rPr>
              <w:t>个工作日内完成相关软、硬件配备并全面开展服务。</w:t>
            </w:r>
          </w:p>
          <w:p>
            <w:pPr>
              <w:pStyle w:val="null3"/>
              <w:ind w:firstLine="400"/>
            </w:pPr>
            <w:r>
              <w:rPr>
                <w:sz w:val="20"/>
              </w:rPr>
              <w:t>2.</w:t>
            </w:r>
            <w:r>
              <w:rPr>
                <w:sz w:val="20"/>
              </w:rPr>
              <w:t>供应商提供的系统及软件，需与采购人现有系统（法院综合档案管理系统、广东法院综合业务系统</w:t>
            </w:r>
            <w:r>
              <w:rPr>
                <w:sz w:val="20"/>
              </w:rPr>
              <w:t>3.0</w:t>
            </w:r>
            <w:r>
              <w:rPr>
                <w:sz w:val="20"/>
              </w:rPr>
              <w:t>、法院综合信息管理平台、广东法院诉讼材料收发管理系统）无缝对接，如需在采购人现有系统上新增加功能（包括但不限于封皮目录打印、补充材料、预转档等）才能实现卷宗随案同步生成的工作，则由供应商负责相关费用。供应商扫描的电子档案，需在采购人系统中顺畅运行，满足需求，提高效率。</w:t>
            </w:r>
          </w:p>
          <w:p>
            <w:pPr>
              <w:pStyle w:val="null3"/>
              <w:ind w:firstLine="400"/>
            </w:pPr>
            <w:r>
              <w:rPr>
                <w:sz w:val="20"/>
              </w:rPr>
              <w:t>3.</w:t>
            </w:r>
            <w:r>
              <w:rPr>
                <w:sz w:val="20"/>
              </w:rPr>
              <w:t>如服务期内采购人应全国“一张网”的需求进行系统更换，供应商应根据实际情况采用合适的软硬件，以确保工作顺利推进，期间产生的系统对接等费用由供应商承担。</w:t>
            </w:r>
          </w:p>
        </w:tc>
      </w:tr>
      <w:tr>
        <w:tc>
          <w:tcPr>
            <w:tcW w:type="dxa" w:w="2076"/>
          </w:tcPr>
          <w:p/>
        </w:tc>
        <w:tc>
          <w:tcPr>
            <w:tcW w:type="dxa" w:w="415"/>
          </w:tcPr>
          <w:p>
            <w:pPr>
              <w:pStyle w:val="null3"/>
            </w:pPr>
            <w:r>
              <w:rPr/>
              <w:t>5</w:t>
            </w:r>
          </w:p>
        </w:tc>
        <w:tc>
          <w:tcPr>
            <w:tcW w:type="dxa" w:w="5814"/>
          </w:tcPr>
          <w:p>
            <w:pPr>
              <w:pStyle w:val="null3"/>
            </w:pPr>
            <w:r>
              <w:rPr>
                <w:sz w:val="20"/>
                <w:b/>
              </w:rPr>
              <w:t>五、项目流程及依据标准</w:t>
            </w:r>
          </w:p>
          <w:p>
            <w:pPr>
              <w:pStyle w:val="null3"/>
            </w:pPr>
            <w:r>
              <w:rPr>
                <w:sz w:val="20"/>
              </w:rPr>
              <w:t>1.</w:t>
            </w:r>
            <w:r>
              <w:rPr>
                <w:sz w:val="20"/>
              </w:rPr>
              <w:t>项目流程</w:t>
            </w:r>
          </w:p>
          <w:p>
            <w:pPr>
              <w:pStyle w:val="null3"/>
              <w:ind w:firstLine="400"/>
            </w:pPr>
            <w:r>
              <w:rPr>
                <w:sz w:val="20"/>
              </w:rPr>
              <w:t>材料编目、档案整理、档案接收、档案扫描、档案装订入库各环节的流程，各环节均有质检人员检查把关。将已经装盒的纸质档案按照批次列出清单进行验收，验收工作依照加工标准进行，验收方式为对该批次（验收清单）全部档案进行逐项验收，总差错项不高于总抽查项数的</w:t>
            </w:r>
            <w:r>
              <w:rPr>
                <w:sz w:val="20"/>
              </w:rPr>
              <w:t>2%</w:t>
            </w:r>
            <w:r>
              <w:rPr>
                <w:sz w:val="20"/>
              </w:rPr>
              <w:t>，质检通过由检查人在清单上签章并通过验收，对于验收过程中发现的问题应及时进行沟通并处理。</w:t>
            </w:r>
          </w:p>
          <w:p>
            <w:pPr>
              <w:pStyle w:val="null3"/>
            </w:pPr>
            <w:r>
              <w:rPr>
                <w:sz w:val="20"/>
              </w:rPr>
              <w:t>2.</w:t>
            </w:r>
            <w:r>
              <w:rPr>
                <w:sz w:val="20"/>
              </w:rPr>
              <w:t>工作的交接及异议处理流程</w:t>
            </w:r>
          </w:p>
          <w:p>
            <w:pPr>
              <w:pStyle w:val="null3"/>
              <w:ind w:firstLine="400"/>
            </w:pPr>
            <w:r>
              <w:rPr>
                <w:sz w:val="20"/>
              </w:rPr>
              <w:t>供应商应严格按照规定的时间和标准完成任务。对采购人交付的工作认为不符合合同约定范围的，应书面向采购人提出。采购人收到异议后应与供应商管理人员及时沟通、协商，达成一致后重新出具新的工作清单。如果供应商未书面提出异议的，视为同意该工作安排，则应严格按该工作要求完成服务任务。</w:t>
            </w:r>
          </w:p>
          <w:p>
            <w:pPr>
              <w:pStyle w:val="null3"/>
            </w:pPr>
            <w:r>
              <w:rPr>
                <w:sz w:val="20"/>
              </w:rPr>
              <w:t>3.</w:t>
            </w:r>
            <w:r>
              <w:rPr>
                <w:sz w:val="20"/>
              </w:rPr>
              <w:t>工作成果交付和验收</w:t>
            </w:r>
          </w:p>
          <w:p>
            <w:pPr>
              <w:pStyle w:val="null3"/>
              <w:ind w:firstLine="400"/>
            </w:pPr>
            <w:r>
              <w:rPr>
                <w:sz w:val="20"/>
              </w:rPr>
              <w:t>供应商应按时保质保量地完成服务工作，并按约定的时间和方式向采购人交付工作成果。采购人应对供应商提交的工作成果按约定质量标准进行验收，并出具验收意见及评分。</w:t>
            </w:r>
          </w:p>
          <w:p>
            <w:pPr>
              <w:pStyle w:val="null3"/>
            </w:pPr>
            <w:r>
              <w:rPr>
                <w:sz w:val="20"/>
              </w:rPr>
              <w:t>4.</w:t>
            </w:r>
            <w:r>
              <w:rPr>
                <w:sz w:val="20"/>
              </w:rPr>
              <w:t>电子卷宗随案生成全流程无纸化扫描结算方式</w:t>
            </w:r>
          </w:p>
          <w:p>
            <w:pPr>
              <w:pStyle w:val="null3"/>
              <w:ind w:firstLine="400"/>
            </w:pPr>
            <w:r>
              <w:rPr>
                <w:sz w:val="20"/>
              </w:rPr>
              <w:t>单个案件以采购人对档案验收或纸质卷宗上架后视为完成全部服务内容。若本项目合同期满后选取新的供应商提供服务，则旧供应商需要撤场并完成案件材料交接。对于未达到验收条件的案件，则根据案件所处状态折算工作量进行项目验收。具体方法如下：（</w:t>
            </w:r>
            <w:r>
              <w:rPr>
                <w:sz w:val="20"/>
              </w:rPr>
              <w:t>1</w:t>
            </w:r>
            <w:r>
              <w:rPr>
                <w:sz w:val="20"/>
              </w:rPr>
              <w:t>）案件所处阶段为诉前阶段（完成诉前材料扫描），按全流程工作量进度</w:t>
            </w:r>
            <w:r>
              <w:rPr>
                <w:sz w:val="20"/>
              </w:rPr>
              <w:t>10%</w:t>
            </w:r>
            <w:r>
              <w:rPr>
                <w:sz w:val="20"/>
              </w:rPr>
              <w:t>结算。（</w:t>
            </w:r>
            <w:r>
              <w:rPr>
                <w:sz w:val="20"/>
              </w:rPr>
              <w:t>2</w:t>
            </w:r>
            <w:r>
              <w:rPr>
                <w:sz w:val="20"/>
              </w:rPr>
              <w:t>）案件所处阶段为审理阶段（案件尚未完成纸质归档材料扫描及编目）按全流程工作量进度</w:t>
            </w:r>
            <w:r>
              <w:rPr>
                <w:sz w:val="20"/>
              </w:rPr>
              <w:t>40%</w:t>
            </w:r>
            <w:r>
              <w:rPr>
                <w:sz w:val="20"/>
              </w:rPr>
              <w:t>结算。（</w:t>
            </w:r>
            <w:r>
              <w:rPr>
                <w:sz w:val="20"/>
              </w:rPr>
              <w:t>3</w:t>
            </w:r>
            <w:r>
              <w:rPr>
                <w:sz w:val="20"/>
              </w:rPr>
              <w:t>）案件所处阶段为待归档阶段（已经完成全部归档纸质材料扫描及编目，未作电子档案整理和纸质档案整理），按全流程工作量进度</w:t>
            </w:r>
            <w:r>
              <w:rPr>
                <w:sz w:val="20"/>
              </w:rPr>
              <w:t>80%</w:t>
            </w:r>
            <w:r>
              <w:rPr>
                <w:sz w:val="20"/>
              </w:rPr>
              <w:t>结算。</w:t>
            </w:r>
          </w:p>
          <w:p>
            <w:pPr>
              <w:pStyle w:val="null3"/>
            </w:pPr>
            <w:r>
              <w:rPr>
                <w:sz w:val="20"/>
              </w:rPr>
              <w:t>5.</w:t>
            </w:r>
            <w:r>
              <w:rPr>
                <w:sz w:val="20"/>
              </w:rPr>
              <w:t>服务质量要求：</w:t>
            </w:r>
          </w:p>
          <w:p>
            <w:pPr>
              <w:pStyle w:val="null3"/>
              <w:ind w:firstLine="400"/>
            </w:pPr>
            <w:r>
              <w:rPr>
                <w:sz w:val="20"/>
              </w:rPr>
              <w:t>（</w:t>
            </w:r>
            <w:r>
              <w:rPr>
                <w:sz w:val="20"/>
              </w:rPr>
              <w:t>1</w:t>
            </w:r>
            <w:r>
              <w:rPr>
                <w:sz w:val="20"/>
              </w:rPr>
              <w:t>）为保证服务质量，采购人将制定服务质量监督考核指标。每三个月对形成的电子档案进行一次抽检，如合格率低于</w:t>
            </w:r>
            <w:r>
              <w:rPr>
                <w:sz w:val="20"/>
              </w:rPr>
              <w:t>98%</w:t>
            </w:r>
            <w:r>
              <w:rPr>
                <w:sz w:val="20"/>
              </w:rPr>
              <w:t>，则在本次付款服务费中扣除本次服务费的</w:t>
            </w:r>
            <w:r>
              <w:rPr>
                <w:sz w:val="20"/>
              </w:rPr>
              <w:t>1.5%</w:t>
            </w:r>
            <w:r>
              <w:rPr>
                <w:sz w:val="20"/>
              </w:rPr>
              <w:t>，且期间形成的电子档案需返还供应商进行全盘质检，经采购人再次抽检合格后才允许通过。</w:t>
            </w:r>
          </w:p>
          <w:p>
            <w:pPr>
              <w:pStyle w:val="null3"/>
              <w:ind w:firstLine="400"/>
            </w:pPr>
            <w:r>
              <w:rPr>
                <w:sz w:val="20"/>
              </w:rPr>
              <w:t>（</w:t>
            </w:r>
            <w:r>
              <w:rPr>
                <w:sz w:val="20"/>
              </w:rPr>
              <w:t>2</w:t>
            </w:r>
            <w:r>
              <w:rPr>
                <w:sz w:val="20"/>
              </w:rPr>
              <w:t>）服务期间，采购人会通过每三个月一次的用户满意度调查，供应商根据采购人要求制作用户满意度调查问卷，发放给各业务部门了解服务质量。供应商通过用户满意度反馈不断调整服务方式方法，提高服务质效。</w:t>
            </w:r>
          </w:p>
        </w:tc>
      </w:tr>
      <w:tr>
        <w:tc>
          <w:tcPr>
            <w:tcW w:type="dxa" w:w="2076"/>
          </w:tcPr>
          <w:p/>
        </w:tc>
        <w:tc>
          <w:tcPr>
            <w:tcW w:type="dxa" w:w="415"/>
          </w:tcPr>
          <w:p>
            <w:pPr>
              <w:pStyle w:val="null3"/>
            </w:pPr>
            <w:r>
              <w:rPr/>
              <w:t>6</w:t>
            </w:r>
          </w:p>
        </w:tc>
        <w:tc>
          <w:tcPr>
            <w:tcW w:type="dxa" w:w="5814"/>
          </w:tcPr>
          <w:p>
            <w:pPr>
              <w:pStyle w:val="null3"/>
            </w:pPr>
            <w:r>
              <w:rPr>
                <w:sz w:val="20"/>
                <w:b/>
              </w:rPr>
              <w:t>六、项目管理要求</w:t>
            </w:r>
          </w:p>
          <w:p>
            <w:pPr>
              <w:pStyle w:val="null3"/>
            </w:pPr>
            <w:r>
              <w:rPr>
                <w:sz w:val="20"/>
                <w:b/>
              </w:rPr>
              <w:t>（一）项目人员要求</w:t>
            </w:r>
          </w:p>
          <w:p>
            <w:pPr>
              <w:pStyle w:val="null3"/>
              <w:ind w:firstLine="400"/>
            </w:pPr>
            <w:r>
              <w:rPr>
                <w:sz w:val="20"/>
              </w:rPr>
              <w:t>1.</w:t>
            </w:r>
            <w:r>
              <w:rPr>
                <w:sz w:val="20"/>
              </w:rPr>
              <w:t>供应商在项目实施过程中需要提供一支品行端正、经验丰富、人员稳定、保密意识强的团队；在拟投入工作人员中设置项目经理（</w:t>
            </w:r>
            <w:r>
              <w:rPr>
                <w:sz w:val="20"/>
              </w:rPr>
              <w:t>1</w:t>
            </w:r>
            <w:r>
              <w:rPr>
                <w:sz w:val="20"/>
              </w:rPr>
              <w:t>人）和小组长，项目经理和小组长应具备相应的管理能力和行业工作经验，熟悉各类软件及系统的操作应用。</w:t>
            </w:r>
          </w:p>
          <w:p>
            <w:pPr>
              <w:pStyle w:val="null3"/>
              <w:ind w:firstLine="400"/>
            </w:pPr>
            <w:r>
              <w:rPr>
                <w:sz w:val="20"/>
              </w:rPr>
              <w:t xml:space="preserve">2. </w:t>
            </w:r>
            <w:r>
              <w:rPr>
                <w:sz w:val="20"/>
              </w:rPr>
              <w:t>供应商负责拟录用人员学历及技能资格条件、用工条件的审核验证并办理录用人员的所有用工手续，并进行培训，由此产生的争议及给采购人造成的损失由供应商负责。</w:t>
            </w:r>
          </w:p>
          <w:p>
            <w:pPr>
              <w:pStyle w:val="null3"/>
              <w:ind w:firstLine="400"/>
            </w:pPr>
            <w:r>
              <w:rPr>
                <w:sz w:val="20"/>
              </w:rPr>
              <w:t>3.</w:t>
            </w:r>
            <w:r>
              <w:rPr>
                <w:sz w:val="20"/>
              </w:rPr>
              <w:t>工作人员须严格遵守采购人的相关工作守则和作息时间，不得迟到、早退、随意旷工，凡请假者除经供应商批准外，需告知采购人管理人员。</w:t>
            </w:r>
          </w:p>
          <w:p>
            <w:pPr>
              <w:pStyle w:val="null3"/>
              <w:ind w:firstLine="400"/>
            </w:pPr>
            <w:r>
              <w:rPr>
                <w:sz w:val="20"/>
              </w:rPr>
              <w:t>4.</w:t>
            </w:r>
            <w:r>
              <w:rPr>
                <w:sz w:val="20"/>
              </w:rPr>
              <w:t>工作人员要听从采购人的安排和分配，在指定的工作场所完成事务类工作，遵守和维护工作秩序。</w:t>
            </w:r>
          </w:p>
          <w:p>
            <w:pPr>
              <w:pStyle w:val="null3"/>
              <w:ind w:firstLine="400"/>
            </w:pPr>
            <w:r>
              <w:rPr>
                <w:sz w:val="20"/>
              </w:rPr>
              <w:t>5.</w:t>
            </w:r>
            <w:r>
              <w:rPr>
                <w:sz w:val="20"/>
              </w:rPr>
              <w:t>工作人员不得利用工作之便，进行任何非法或本项目范围外的活动，不得损坏、丢失、涂改、抽换、伪造档案，不得擅自修改、复制案件档案资料带离开工作场所。如经发现，采购人有权终止服务合同，构成犯罪的，依法追究刑事责任。</w:t>
            </w:r>
          </w:p>
          <w:p>
            <w:pPr>
              <w:pStyle w:val="null3"/>
              <w:ind w:firstLine="400"/>
            </w:pPr>
            <w:r>
              <w:rPr>
                <w:sz w:val="20"/>
              </w:rPr>
              <w:t>6.</w:t>
            </w:r>
            <w:r>
              <w:rPr>
                <w:sz w:val="20"/>
              </w:rPr>
              <w:t>供应商与采购人应签署保密协议，加强工作人员的安全保密教育，约束工作人员保证不以任何方式对外泄露保密信息。如经发现，采购人有权终止服务合同，构成犯罪的</w:t>
            </w:r>
            <w:r>
              <w:rPr>
                <w:sz w:val="20"/>
              </w:rPr>
              <w:t>,</w:t>
            </w:r>
            <w:r>
              <w:rPr>
                <w:sz w:val="20"/>
              </w:rPr>
              <w:t>依法追究刑事责任。</w:t>
            </w:r>
          </w:p>
          <w:p>
            <w:pPr>
              <w:pStyle w:val="null3"/>
              <w:ind w:firstLine="400"/>
            </w:pPr>
            <w:r>
              <w:rPr>
                <w:sz w:val="20"/>
              </w:rPr>
              <w:t>7.</w:t>
            </w:r>
            <w:r>
              <w:rPr>
                <w:sz w:val="20"/>
              </w:rPr>
              <w:t>在服务期间，工作人员出现调走、辞职或被供应商辞退等情况的，需要提前十五天以书面形式通知采购人。导致工作人员不足的，供应商需在</w:t>
            </w:r>
            <w:r>
              <w:rPr>
                <w:sz w:val="20"/>
              </w:rPr>
              <w:t>7</w:t>
            </w:r>
            <w:r>
              <w:rPr>
                <w:sz w:val="20"/>
              </w:rPr>
              <w:t>天内及时补齐符合项目要求的工作人员，不得补充短期服务人员或实习生作替换。供应商在</w:t>
            </w:r>
            <w:r>
              <w:rPr>
                <w:sz w:val="20"/>
              </w:rPr>
              <w:t>7</w:t>
            </w:r>
            <w:r>
              <w:rPr>
                <w:sz w:val="20"/>
              </w:rPr>
              <w:t>天内未能及时补齐符合项目要求的工作人员时，则视为供应商主动违约，采购人有权终止合同，并有权拒绝支付本期项目服务费。对离开本项目实施岗位的人员，供应商需在人员离岗后一周内，在采购人保存的相关工作人员的备案表格中标注。</w:t>
            </w:r>
          </w:p>
          <w:p>
            <w:pPr>
              <w:pStyle w:val="null3"/>
              <w:ind w:firstLine="400"/>
            </w:pPr>
            <w:r>
              <w:rPr>
                <w:sz w:val="20"/>
              </w:rPr>
              <w:t>8.</w:t>
            </w:r>
            <w:r>
              <w:rPr>
                <w:sz w:val="20"/>
              </w:rPr>
              <w:t>工作人员在实施服务过程中，采购人有权监督检查，如发现问题，有权向供应商提出整改意见。</w:t>
            </w:r>
          </w:p>
          <w:p>
            <w:pPr>
              <w:pStyle w:val="null3"/>
              <w:ind w:firstLine="400"/>
            </w:pPr>
            <w:r>
              <w:rPr>
                <w:sz w:val="20"/>
              </w:rPr>
              <w:t>9.</w:t>
            </w:r>
            <w:r>
              <w:rPr>
                <w:sz w:val="20"/>
              </w:rPr>
              <w:t>供应商应利用自身良好的就业平台优势，为采购人退换的工作人员进行二次就业安置服务，以尽量降低采购人的用工成本和营造和谐的劳动关系。</w:t>
            </w:r>
          </w:p>
          <w:p>
            <w:pPr>
              <w:pStyle w:val="null3"/>
              <w:ind w:firstLine="400"/>
            </w:pPr>
            <w:r>
              <w:rPr>
                <w:sz w:val="20"/>
              </w:rPr>
              <w:t>10.</w:t>
            </w:r>
            <w:r>
              <w:rPr>
                <w:sz w:val="20"/>
              </w:rPr>
              <w:t>因供应商工作人员蓄意破坏设备设施、违反规程造成重大事故的，一经查实，则视为供应商严重违约，采购人有权终止合同，责令供应商赔偿损失，情节严重的依法追究其法律责任。</w:t>
            </w:r>
          </w:p>
          <w:p>
            <w:pPr>
              <w:pStyle w:val="null3"/>
              <w:ind w:firstLine="400"/>
            </w:pPr>
            <w:r>
              <w:rPr>
                <w:sz w:val="20"/>
              </w:rPr>
              <w:t>11.</w:t>
            </w:r>
            <w:r>
              <w:rPr>
                <w:sz w:val="20"/>
              </w:rPr>
              <w:t>若供应商在服务某阶段时期内违反其服务承诺或本招标文件的要求三次或以上，则视为供应商违约，采购人有权拒绝支付本期项目服务费。</w:t>
            </w:r>
          </w:p>
          <w:p>
            <w:pPr>
              <w:pStyle w:val="null3"/>
              <w:ind w:firstLine="400"/>
            </w:pPr>
            <w:r>
              <w:rPr>
                <w:sz w:val="20"/>
              </w:rPr>
              <w:t>12.</w:t>
            </w:r>
            <w:r>
              <w:rPr>
                <w:sz w:val="20"/>
              </w:rPr>
              <w:t>供应商工作人员须统一着装，佩戴工牌及临时出入证，按规定程序进出。</w:t>
            </w:r>
          </w:p>
          <w:p>
            <w:pPr>
              <w:pStyle w:val="null3"/>
              <w:ind w:firstLine="200"/>
            </w:pPr>
            <w:r>
              <w:rPr>
                <w:sz w:val="20"/>
              </w:rPr>
              <w:t>★</w:t>
            </w:r>
            <w:r>
              <w:rPr>
                <w:sz w:val="20"/>
              </w:rPr>
              <w:t>13.</w:t>
            </w:r>
            <w:r>
              <w:rPr>
                <w:sz w:val="20"/>
              </w:rPr>
              <w:t>合同生效后，供应商必须向采购人提供参与本项目所有工作人员登记表和身份证复印件（需本人亲笔签名）、社保参保证明、保密协议等文件，以上材料须通过采购人的审核，并在采购人处登记备案。且在项目实施期间，每月向采购人提供本项目所有员工社保参保证明。（投标文件中提供承诺函）</w:t>
            </w:r>
          </w:p>
          <w:p>
            <w:pPr>
              <w:pStyle w:val="null3"/>
            </w:pPr>
            <w:r>
              <w:rPr>
                <w:sz w:val="20"/>
                <w:b/>
              </w:rPr>
              <w:t>（二）现场管理要求</w:t>
            </w:r>
          </w:p>
          <w:p>
            <w:pPr>
              <w:pStyle w:val="null3"/>
              <w:ind w:firstLine="400"/>
            </w:pPr>
            <w:r>
              <w:rPr>
                <w:sz w:val="20"/>
              </w:rPr>
              <w:t>1.</w:t>
            </w:r>
            <w:r>
              <w:rPr>
                <w:sz w:val="20"/>
              </w:rPr>
              <w:t>制定严格的点交点收制度</w:t>
            </w:r>
            <w:r>
              <w:rPr>
                <w:sz w:val="20"/>
              </w:rPr>
              <w:t>,</w:t>
            </w:r>
            <w:r>
              <w:rPr>
                <w:sz w:val="20"/>
              </w:rPr>
              <w:t>保证档案资料交接流程的完整精确记录。在用户现场完成档案资料的逐册或逐份清点装箱工作，填写提卷</w:t>
            </w:r>
            <w:r>
              <w:rPr>
                <w:sz w:val="20"/>
              </w:rPr>
              <w:t>/</w:t>
            </w:r>
            <w:r>
              <w:rPr>
                <w:sz w:val="20"/>
              </w:rPr>
              <w:t>装箱清单，档案资料保证不带离操作现场；</w:t>
            </w:r>
          </w:p>
          <w:p>
            <w:pPr>
              <w:pStyle w:val="null3"/>
              <w:ind w:firstLine="400"/>
            </w:pPr>
            <w:r>
              <w:rPr>
                <w:sz w:val="20"/>
              </w:rPr>
              <w:t>2.</w:t>
            </w:r>
            <w:r>
              <w:rPr>
                <w:sz w:val="20"/>
              </w:rPr>
              <w:t>对破损档案及时报告采购人，根据采购人要求进行修复完整；</w:t>
            </w:r>
          </w:p>
          <w:p>
            <w:pPr>
              <w:pStyle w:val="null3"/>
              <w:ind w:firstLine="400"/>
            </w:pPr>
            <w:r>
              <w:rPr>
                <w:sz w:val="20"/>
              </w:rPr>
              <w:t>3.</w:t>
            </w:r>
            <w:r>
              <w:rPr>
                <w:sz w:val="20"/>
              </w:rPr>
              <w:t>操作人员进入现场佩带工作证件，与项目无关人员禁止出入项目现场；</w:t>
            </w:r>
          </w:p>
          <w:p>
            <w:pPr>
              <w:pStyle w:val="null3"/>
              <w:ind w:firstLine="400"/>
            </w:pPr>
            <w:r>
              <w:rPr>
                <w:sz w:val="20"/>
              </w:rPr>
              <w:t>4.</w:t>
            </w:r>
            <w:r>
              <w:rPr>
                <w:sz w:val="20"/>
              </w:rPr>
              <w:t>保证现场用电、用水安全，禁止用火，项目确定安全监管人员每天进行登记检查汇报；</w:t>
            </w:r>
          </w:p>
          <w:p>
            <w:pPr>
              <w:pStyle w:val="null3"/>
              <w:ind w:firstLine="400"/>
            </w:pPr>
            <w:r>
              <w:rPr>
                <w:sz w:val="20"/>
              </w:rPr>
              <w:t>5.</w:t>
            </w:r>
            <w:r>
              <w:rPr>
                <w:sz w:val="20"/>
              </w:rPr>
              <w:t>数字化处理工作室内的废纸必须集中存放、集中处理，确保其中没有夹带任何文件后才能清出工作室。</w:t>
            </w:r>
          </w:p>
          <w:p>
            <w:pPr>
              <w:pStyle w:val="null3"/>
              <w:ind w:firstLine="400"/>
            </w:pPr>
            <w:r>
              <w:rPr>
                <w:sz w:val="20"/>
              </w:rPr>
              <w:t>6.</w:t>
            </w:r>
            <w:r>
              <w:rPr>
                <w:sz w:val="20"/>
              </w:rPr>
              <w:t>供应商工作人员剔除同一案卷内的重复文件必须经法院有关人员审核同意方可实施。</w:t>
            </w:r>
          </w:p>
          <w:p>
            <w:pPr>
              <w:pStyle w:val="null3"/>
              <w:ind w:firstLine="400"/>
            </w:pPr>
            <w:r>
              <w:rPr>
                <w:sz w:val="20"/>
              </w:rPr>
              <w:t>7.</w:t>
            </w:r>
            <w:r>
              <w:rPr>
                <w:sz w:val="20"/>
              </w:rPr>
              <w:t>供应商必须对员工进行经常性的档案实体安全教育，所有案卷必须合理有序摆放、不得乱堆乱放。对于暂时性、临时性或者紧急需要处理的案卷，应该安排固定安全的区域进行存放。对案卷存在疑问的地方，必须征得档案室意见后方可进行处理，不得擅自处理。档案工作室内的废纸必须集中放置，并定期运送至采购人指定位置进行销毁。</w:t>
            </w:r>
          </w:p>
          <w:p>
            <w:pPr>
              <w:pStyle w:val="null3"/>
            </w:pPr>
            <w:r>
              <w:rPr>
                <w:sz w:val="20"/>
                <w:b/>
              </w:rPr>
              <w:t>（三）信息安全保障要求</w:t>
            </w:r>
          </w:p>
          <w:p>
            <w:pPr>
              <w:pStyle w:val="null3"/>
              <w:ind w:firstLine="400"/>
            </w:pPr>
            <w:r>
              <w:rPr>
                <w:sz w:val="20"/>
              </w:rPr>
              <w:t>1.</w:t>
            </w:r>
            <w:r>
              <w:rPr>
                <w:sz w:val="20"/>
              </w:rPr>
              <w:t>禁止项目现场使用外网，对项目组人员进行安全保密信息培训；</w:t>
            </w:r>
          </w:p>
          <w:p>
            <w:pPr>
              <w:pStyle w:val="null3"/>
              <w:ind w:firstLine="400"/>
            </w:pPr>
            <w:r>
              <w:rPr>
                <w:sz w:val="20"/>
              </w:rPr>
              <w:t>2.</w:t>
            </w:r>
            <w:r>
              <w:rPr>
                <w:sz w:val="20"/>
              </w:rPr>
              <w:t>最终数据由项目经理保管检查刻录，档案信息不带离现场，不谈论涉及档案内容的话题，不利用用户信息进行扩散和演示交流工作；</w:t>
            </w:r>
          </w:p>
          <w:p>
            <w:pPr>
              <w:pStyle w:val="null3"/>
              <w:ind w:firstLine="400"/>
            </w:pPr>
            <w:r>
              <w:rPr>
                <w:sz w:val="20"/>
              </w:rPr>
              <w:t>3.</w:t>
            </w:r>
            <w:r>
              <w:rPr>
                <w:sz w:val="20"/>
              </w:rPr>
              <w:t>除钥匙及眼镜等外，未经档案管理人员同意，不得将手袋、提包、钱包、磁盘（含</w:t>
            </w:r>
            <w:r>
              <w:rPr>
                <w:sz w:val="20"/>
              </w:rPr>
              <w:t>U</w:t>
            </w:r>
            <w:r>
              <w:rPr>
                <w:sz w:val="20"/>
              </w:rPr>
              <w:t>盘、软盘、硬盘等）、刻录光盘、手机、</w:t>
            </w:r>
            <w:r>
              <w:rPr>
                <w:sz w:val="20"/>
              </w:rPr>
              <w:t>MP3</w:t>
            </w:r>
            <w:r>
              <w:rPr>
                <w:sz w:val="20"/>
              </w:rPr>
              <w:t>、</w:t>
            </w:r>
            <w:r>
              <w:rPr>
                <w:sz w:val="20"/>
              </w:rPr>
              <w:t>MP4</w:t>
            </w:r>
            <w:r>
              <w:rPr>
                <w:sz w:val="20"/>
              </w:rPr>
              <w:t>、报刊、纸张及其他随身物品带入数字化处理工作室，也不得将工作室的物品擅自带出工作室外。</w:t>
            </w:r>
          </w:p>
          <w:p>
            <w:pPr>
              <w:pStyle w:val="null3"/>
              <w:ind w:firstLine="400"/>
            </w:pPr>
            <w:r>
              <w:rPr>
                <w:sz w:val="20"/>
              </w:rPr>
              <w:t>4.</w:t>
            </w:r>
            <w:r>
              <w:rPr>
                <w:sz w:val="20"/>
              </w:rPr>
              <w:t>档案数字化服务项目期满后或在使用途中，所有</w:t>
            </w:r>
            <w:r>
              <w:rPr>
                <w:sz w:val="20"/>
              </w:rPr>
              <w:t>RFID</w:t>
            </w:r>
            <w:r>
              <w:rPr>
                <w:sz w:val="20"/>
              </w:rPr>
              <w:t>系统数据、电脑存储硬盘数据等无论出于何种原因都将归属于采购人，由采购人档案管理部门自行处理，并需要根据《中华人民共和国档案法》第三条、第十三条、第十四条的规定、国家档案局经</w:t>
            </w:r>
            <w:r>
              <w:rPr>
                <w:sz w:val="20"/>
              </w:rPr>
              <w:t>13</w:t>
            </w:r>
            <w:r>
              <w:rPr>
                <w:sz w:val="20"/>
              </w:rPr>
              <w:t>号令《机关档案管理规定》第三十七条、第六十六条规定，遵循安全保密原则，符合国家有关保密规定。因此，采购人档案数字化工作过程中所有存储设备维修维护需要按照相关保密管理规范进行维护和管理。</w:t>
            </w:r>
          </w:p>
          <w:p>
            <w:pPr>
              <w:pStyle w:val="null3"/>
            </w:pPr>
            <w:r>
              <w:rPr>
                <w:sz w:val="20"/>
                <w:b/>
              </w:rPr>
              <w:t>（四）保密要求</w:t>
            </w:r>
          </w:p>
          <w:p>
            <w:pPr>
              <w:pStyle w:val="null3"/>
              <w:ind w:firstLine="200"/>
            </w:pPr>
            <w:r>
              <w:rPr>
                <w:sz w:val="20"/>
              </w:rPr>
              <w:t>★</w:t>
            </w:r>
            <w:r>
              <w:rPr>
                <w:sz w:val="20"/>
              </w:rPr>
              <w:t>1.</w:t>
            </w:r>
            <w:r>
              <w:rPr>
                <w:sz w:val="20"/>
              </w:rPr>
              <w:t>供应商应严格遵守《档案法》和《保密法》法律规定，与采购人签订保密协议，对项目中涉及到的档案信息、个人信息（隐私）、工作信息等承担保密义务，有责任对参与本项目的人员进行保密安全教育，防止泄密事件的发生，并与每个项目工作人员签订保密协议，该保密协议一式三份，交采购人保留一份。否则，采购人有权根据问题的严重程度，追究供应商及其相关责任人的涉密责任。（投标文件中提供承诺函）</w:t>
            </w:r>
          </w:p>
          <w:p>
            <w:pPr>
              <w:pStyle w:val="null3"/>
              <w:ind w:firstLine="400"/>
            </w:pPr>
            <w:r>
              <w:rPr>
                <w:sz w:val="20"/>
              </w:rPr>
              <w:t>2.</w:t>
            </w:r>
            <w:r>
              <w:rPr>
                <w:sz w:val="20"/>
              </w:rPr>
              <w:t>供应商须建立完善的项目安全保密管理制度，明确安全岗位责任。供应商定期对参与本项目的管理人员和工作人员进行安全培训教育，加强学习保密知识，要求参与项目的工作人员必须严格遵守《中华人民共和国档案法》、《中华人民共和国保守国家秘密法》及采购人的相关保密制度和其他有关法规，明确档案管理的责任，树立档案安全保密意识，严防泄密事件发生。</w:t>
            </w:r>
          </w:p>
          <w:p>
            <w:pPr>
              <w:pStyle w:val="null3"/>
              <w:ind w:firstLine="400"/>
            </w:pPr>
            <w:r>
              <w:rPr>
                <w:sz w:val="20"/>
              </w:rPr>
              <w:t>3.</w:t>
            </w:r>
            <w:r>
              <w:rPr>
                <w:sz w:val="20"/>
              </w:rPr>
              <w:t>本项目服务工作必须在采购人指定的场所内进行，供应商确保场所正常秩序和安全。不得遗失、损坏卷宗，如有违法行为或违反相关规定，将依法或依据约定追究相应的责任。</w:t>
            </w:r>
          </w:p>
          <w:p>
            <w:pPr>
              <w:pStyle w:val="null3"/>
              <w:ind w:firstLine="400"/>
            </w:pPr>
            <w:r>
              <w:rPr>
                <w:sz w:val="20"/>
              </w:rPr>
              <w:t>4.</w:t>
            </w:r>
            <w:r>
              <w:rPr>
                <w:sz w:val="20"/>
              </w:rPr>
              <w:t>供应商工作人员不得以任何方式非法向外人泄露档案所涉及的审判秘密、工作秘密及其他不宜公开的信息，否则按国家有关规定处理，情节严重的要承担相应的刑事责任。</w:t>
            </w:r>
          </w:p>
          <w:p>
            <w:pPr>
              <w:pStyle w:val="null3"/>
              <w:ind w:firstLine="400"/>
            </w:pPr>
            <w:r>
              <w:rPr>
                <w:sz w:val="20"/>
              </w:rPr>
              <w:t>5.</w:t>
            </w:r>
            <w:r>
              <w:rPr>
                <w:sz w:val="20"/>
              </w:rPr>
              <w:t>如发生遗失、复制、泄露等安全事故，全部由供应商负责。采购人将依照《中华人民共和国档案法》、《广东省档案条例》等规定进行严肃处理，对情节严重的，采购人有权暂停供应商全部工作，按有关法规追究法律责任，并责成供应商进行整改，整改通过后方能恢复工作，所耽误的工作进度由供应商自行负责；情节特别严重的，将追究供应商相应的刑事责任，并视为供应商违约，由此造成采购人的一切损失由供应商承担，采购人有权解除合同。</w:t>
            </w:r>
          </w:p>
          <w:p>
            <w:pPr>
              <w:pStyle w:val="null3"/>
              <w:ind w:firstLine="400"/>
            </w:pPr>
            <w:r>
              <w:rPr>
                <w:sz w:val="20"/>
              </w:rPr>
              <w:t>6.</w:t>
            </w:r>
            <w:r>
              <w:rPr>
                <w:sz w:val="20"/>
              </w:rPr>
              <w:t>网络安全：供应商的工作局域网与采购人内网连接，供应商应建立网络安全防控机制，定期对工作电脑、服务器进行病毒查杀，对敏感端口进行安全扫描，对采购人要求封闭的网络端口进行封闭。外部存储设备未经安全设备进行中间转换，不得接入工作局域网。</w:t>
            </w:r>
          </w:p>
          <w:p>
            <w:pPr>
              <w:pStyle w:val="null3"/>
              <w:ind w:firstLine="400"/>
            </w:pPr>
            <w:r>
              <w:rPr>
                <w:sz w:val="20"/>
              </w:rPr>
              <w:t>7.</w:t>
            </w:r>
            <w:r>
              <w:rPr>
                <w:sz w:val="20"/>
              </w:rPr>
              <w:t>数据安全，供应商应对本项目所有产生的电子化数据的完整性和安全性负责，全面做好电子化数据的备份（至少有一份以上的电子化数据备份），确保数据的安全。供应商对项目实施过程中产生的档案数据（包括但不限于扫描成果、过程数据、统计数据）负有保管义务，供应商应有数据管理的系统和数据处理工作流程，确保档案数据的真实性和准确性，移交采购人的数据必须经过杀毒和数据质量检查，确保数据准确。</w:t>
            </w:r>
          </w:p>
          <w:p>
            <w:pPr>
              <w:pStyle w:val="null3"/>
              <w:ind w:firstLine="200"/>
            </w:pPr>
            <w:r>
              <w:rPr>
                <w:sz w:val="20"/>
              </w:rPr>
              <w:t>★</w:t>
            </w:r>
            <w:r>
              <w:rPr>
                <w:sz w:val="20"/>
              </w:rPr>
              <w:t>8.</w:t>
            </w:r>
            <w:r>
              <w:rPr>
                <w:sz w:val="20"/>
              </w:rPr>
              <w:t>软件安全：供应商入场电脑设备使用的操作系统、业务系统必须为正版软件，业务系统软件必须具有知识版权或获得版权方授权，供应商、项目工作人员必须签订正版软件承诺书（投标文件中提供承诺函），严禁使用盗版软件。</w:t>
            </w:r>
          </w:p>
          <w:p>
            <w:pPr>
              <w:pStyle w:val="null3"/>
              <w:ind w:firstLine="400"/>
            </w:pPr>
            <w:r>
              <w:rPr>
                <w:sz w:val="20"/>
              </w:rPr>
              <w:t>9.</w:t>
            </w:r>
            <w:r>
              <w:rPr>
                <w:sz w:val="20"/>
              </w:rPr>
              <w:t>供应商购置的全部电脑硬盘等存储介质所有权归采购人所有。项目结束，供应商离场前需将电脑硬盘等全部存储介质交给采购人，由采购人进行处理。</w:t>
            </w:r>
          </w:p>
          <w:p>
            <w:pPr>
              <w:pStyle w:val="null3"/>
              <w:ind w:firstLine="400"/>
            </w:pPr>
            <w:r>
              <w:rPr>
                <w:sz w:val="20"/>
              </w:rPr>
              <w:t>10.</w:t>
            </w:r>
            <w:r>
              <w:rPr>
                <w:sz w:val="20"/>
              </w:rPr>
              <w:t>应急预案，供应商应针对本院项目人员、场地、设备、消防、防尘、防虫等特定条件，制定相关应急预案，并定期进行演练，确保实体档案安全。</w:t>
            </w:r>
          </w:p>
          <w:p>
            <w:pPr>
              <w:pStyle w:val="null3"/>
              <w:ind w:firstLine="400"/>
            </w:pPr>
            <w:r>
              <w:rPr>
                <w:sz w:val="20"/>
              </w:rPr>
              <w:t>11.</w:t>
            </w:r>
            <w:r>
              <w:rPr>
                <w:sz w:val="20"/>
              </w:rPr>
              <w:t>用于档案数字化的设备及存储介质的维修、更换与报废应符合有关规定，有采购人专门人员现场监督，严防数据被非法留存和复制，严防数据被非法留存和复制，报废前必须进行信息和数据的彻底清除。</w:t>
            </w:r>
          </w:p>
        </w:tc>
      </w:tr>
      <w:tr>
        <w:tc>
          <w:tcPr>
            <w:tcW w:type="dxa" w:w="2076"/>
          </w:tcPr>
          <w:p/>
        </w:tc>
        <w:tc>
          <w:tcPr>
            <w:tcW w:type="dxa" w:w="415"/>
          </w:tcPr>
          <w:p>
            <w:pPr>
              <w:pStyle w:val="null3"/>
            </w:pPr>
            <w:r>
              <w:rPr/>
              <w:t>7</w:t>
            </w:r>
          </w:p>
        </w:tc>
        <w:tc>
          <w:tcPr>
            <w:tcW w:type="dxa" w:w="5814"/>
          </w:tcPr>
          <w:p>
            <w:pPr>
              <w:pStyle w:val="null3"/>
            </w:pPr>
            <w:r>
              <w:rPr>
                <w:sz w:val="20"/>
                <w:b/>
              </w:rPr>
              <w:t>七、职责范围</w:t>
            </w:r>
          </w:p>
          <w:p>
            <w:pPr>
              <w:pStyle w:val="null3"/>
            </w:pPr>
            <w:r>
              <w:rPr>
                <w:sz w:val="20"/>
                <w:b/>
              </w:rPr>
              <w:t>（一）采购人职责范围</w:t>
            </w:r>
          </w:p>
          <w:p>
            <w:pPr>
              <w:pStyle w:val="null3"/>
              <w:ind w:firstLine="400"/>
            </w:pPr>
            <w:r>
              <w:rPr>
                <w:sz w:val="20"/>
              </w:rPr>
              <w:t>1.</w:t>
            </w:r>
            <w:r>
              <w:rPr>
                <w:sz w:val="20"/>
              </w:rPr>
              <w:t>负责提供服务场地、必要的办公条件，并提供服务所需要的资料和数据。</w:t>
            </w:r>
          </w:p>
          <w:p>
            <w:pPr>
              <w:pStyle w:val="null3"/>
              <w:ind w:firstLine="400"/>
            </w:pPr>
            <w:r>
              <w:rPr>
                <w:sz w:val="20"/>
              </w:rPr>
              <w:t>2.</w:t>
            </w:r>
            <w:r>
              <w:rPr>
                <w:sz w:val="20"/>
              </w:rPr>
              <w:t>负责协调各项目相关部门配合开展工作，提供审判辅助事务咨询支持。</w:t>
            </w:r>
          </w:p>
          <w:p>
            <w:pPr>
              <w:pStyle w:val="null3"/>
              <w:ind w:firstLine="400"/>
            </w:pPr>
            <w:r>
              <w:rPr>
                <w:sz w:val="20"/>
              </w:rPr>
              <w:t>3.</w:t>
            </w:r>
            <w:r>
              <w:rPr>
                <w:sz w:val="20"/>
              </w:rPr>
              <w:t>配合供应商开展服务培训、业务培训、员工管理等事项。</w:t>
            </w:r>
          </w:p>
          <w:p>
            <w:pPr>
              <w:pStyle w:val="null3"/>
              <w:ind w:firstLine="400"/>
            </w:pPr>
            <w:r>
              <w:rPr>
                <w:sz w:val="20"/>
              </w:rPr>
              <w:t>4.</w:t>
            </w:r>
            <w:r>
              <w:rPr>
                <w:sz w:val="20"/>
              </w:rPr>
              <w:t>按约定时间向供应商支付服务管理费用。</w:t>
            </w:r>
          </w:p>
          <w:p>
            <w:pPr>
              <w:pStyle w:val="null3"/>
              <w:ind w:firstLine="400"/>
            </w:pPr>
            <w:r>
              <w:rPr>
                <w:sz w:val="20"/>
              </w:rPr>
              <w:t>5.</w:t>
            </w:r>
            <w:r>
              <w:rPr>
                <w:sz w:val="20"/>
              </w:rPr>
              <w:t>对供应商工作进行监督管理。</w:t>
            </w:r>
          </w:p>
          <w:p>
            <w:pPr>
              <w:pStyle w:val="null3"/>
            </w:pPr>
            <w:r>
              <w:rPr>
                <w:sz w:val="20"/>
                <w:b/>
              </w:rPr>
              <w:t>（二）供应商职责范围</w:t>
            </w:r>
          </w:p>
          <w:p>
            <w:pPr>
              <w:pStyle w:val="null3"/>
              <w:ind w:firstLine="400"/>
            </w:pPr>
            <w:r>
              <w:rPr>
                <w:sz w:val="20"/>
              </w:rPr>
              <w:t>1.</w:t>
            </w:r>
            <w:r>
              <w:rPr>
                <w:sz w:val="20"/>
              </w:rPr>
              <w:t>供应商按照合同约定保质保量向采购人提供合格的服务。</w:t>
            </w:r>
          </w:p>
          <w:p>
            <w:pPr>
              <w:pStyle w:val="null3"/>
              <w:ind w:firstLine="400"/>
            </w:pPr>
            <w:r>
              <w:rPr>
                <w:sz w:val="20"/>
              </w:rPr>
              <w:t>2.</w:t>
            </w:r>
            <w:r>
              <w:rPr>
                <w:sz w:val="20"/>
              </w:rPr>
              <w:t>供应商必须保证提供服务的团队人员的数量和素质满足履行本合同的要求。在按时保质保量地完成合同约定的工作后，如遇采购人对业务量需求的调整，服务期内供应商还有权利和义务对业务量标准按照采购人业务量的要求进行合理地调整，以达到服务的优化。</w:t>
            </w:r>
          </w:p>
          <w:p>
            <w:pPr>
              <w:pStyle w:val="null3"/>
              <w:ind w:firstLine="400"/>
            </w:pPr>
            <w:r>
              <w:rPr>
                <w:sz w:val="20"/>
              </w:rPr>
              <w:t>3.</w:t>
            </w:r>
            <w:r>
              <w:rPr>
                <w:sz w:val="20"/>
              </w:rPr>
              <w:t>供应商应积极进行管理创新和科技应用提高质效。</w:t>
            </w:r>
          </w:p>
          <w:p>
            <w:pPr>
              <w:pStyle w:val="null3"/>
              <w:ind w:firstLine="400"/>
            </w:pPr>
            <w:r>
              <w:rPr>
                <w:sz w:val="20"/>
              </w:rPr>
              <w:t>4.</w:t>
            </w:r>
            <w:r>
              <w:rPr>
                <w:sz w:val="20"/>
              </w:rPr>
              <w:t>供应商负责对采购人所提供的所有办公设备进行日常维护和保养。供应商应当正确使用采购人所提供的所有办公设备，如因供应商使用不当导致设备毁损的，供应商应当承担相应的赔偿责任。</w:t>
            </w:r>
          </w:p>
          <w:p>
            <w:pPr>
              <w:pStyle w:val="null3"/>
              <w:ind w:firstLine="400"/>
            </w:pPr>
            <w:r>
              <w:rPr>
                <w:sz w:val="20"/>
              </w:rPr>
              <w:t>5.</w:t>
            </w:r>
            <w:r>
              <w:rPr>
                <w:sz w:val="20"/>
              </w:rPr>
              <w:t>除服务项目实施地的水电费、物业管理费外，一般费用（管理费、装订胶水、装订线等）由供应商自行承担。</w:t>
            </w:r>
            <w:r>
              <w:rPr>
                <w:sz w:val="20"/>
              </w:rPr>
              <w:t xml:space="preserve">  </w:t>
            </w:r>
          </w:p>
          <w:p>
            <w:pPr>
              <w:pStyle w:val="null3"/>
              <w:ind w:firstLine="400"/>
            </w:pPr>
            <w:r>
              <w:rPr>
                <w:sz w:val="20"/>
              </w:rPr>
              <w:t>6.</w:t>
            </w:r>
            <w:r>
              <w:rPr>
                <w:sz w:val="20"/>
              </w:rPr>
              <w:t>供应商对其派驻工作人员应每年组织开展不低于</w:t>
            </w:r>
            <w:r>
              <w:rPr>
                <w:sz w:val="20"/>
              </w:rPr>
              <w:t>2</w:t>
            </w:r>
            <w:r>
              <w:rPr>
                <w:sz w:val="20"/>
              </w:rPr>
              <w:t>次的业务培训，并派员参加采购人组织的相关业务培训。供应商应建立完备的培训台账，以备随时查阅，保证培训工作规范可追溯。</w:t>
            </w:r>
          </w:p>
          <w:p>
            <w:pPr>
              <w:pStyle w:val="null3"/>
              <w:ind w:firstLine="400"/>
            </w:pPr>
            <w:r>
              <w:rPr>
                <w:sz w:val="20"/>
              </w:rPr>
              <w:t>7.</w:t>
            </w:r>
            <w:r>
              <w:rPr>
                <w:sz w:val="20"/>
              </w:rPr>
              <w:t>供应商应接受采购人的监督管理，对采购人提出的处理意见应当在三个工作日内答复。</w:t>
            </w:r>
          </w:p>
          <w:p>
            <w:pPr>
              <w:pStyle w:val="null3"/>
              <w:ind w:firstLine="400"/>
            </w:pPr>
            <w:r>
              <w:rPr>
                <w:sz w:val="20"/>
              </w:rPr>
              <w:t>8.</w:t>
            </w:r>
            <w:r>
              <w:rPr>
                <w:sz w:val="20"/>
              </w:rPr>
              <w:t>供应商负责完善工作人员的各项人力资源管理措施，设置专职人员负责工作人员的劳动关系管理，负责工作人员的招聘入职手续、人事档案管理、劳动纠纷处理、户籍管理、绩效考核、年终考评、职称评定、计划生育、离职手续、工作人员体检、各项社会保险及商业保险的投保、出险处理等日常管理事项，并将相关情况及时以书面形式向采购人反映、报告。供应商负责承担服务工作人员的工伤、人身意外、劳资纠纷、工作人员职务过错等造成的全部经济和法律责任。</w:t>
            </w:r>
          </w:p>
          <w:p>
            <w:pPr>
              <w:pStyle w:val="null3"/>
              <w:ind w:firstLine="400"/>
            </w:pPr>
            <w:r>
              <w:rPr>
                <w:sz w:val="20"/>
              </w:rPr>
              <w:t>9.</w:t>
            </w:r>
            <w:r>
              <w:rPr>
                <w:sz w:val="20"/>
              </w:rPr>
              <w:t>供应商负责按采购人规定标准及时向工作人员落实各项工资、福利项目，根据约定及时向工作人员发放工资。</w:t>
            </w:r>
          </w:p>
          <w:p>
            <w:pPr>
              <w:pStyle w:val="null3"/>
              <w:ind w:firstLine="400"/>
            </w:pPr>
            <w:r>
              <w:rPr>
                <w:sz w:val="20"/>
              </w:rPr>
              <w:t>10.</w:t>
            </w:r>
            <w:r>
              <w:rPr>
                <w:sz w:val="20"/>
              </w:rPr>
              <w:t>项目结束时，供应商需向采购人提供服务合同履行情况，出具相应的报告。</w:t>
            </w:r>
          </w:p>
          <w:p>
            <w:pPr>
              <w:pStyle w:val="null3"/>
              <w:ind w:firstLine="400"/>
            </w:pPr>
            <w:r>
              <w:rPr>
                <w:sz w:val="20"/>
              </w:rPr>
              <w:t>11.</w:t>
            </w:r>
            <w:r>
              <w:rPr>
                <w:sz w:val="20"/>
              </w:rPr>
              <w:t>在合同解除或终止后，供应商应及时向采购人返还相关办公设施、设备及相关数据、档案材料</w:t>
            </w:r>
            <w:r>
              <w:rPr>
                <w:sz w:val="20"/>
              </w:rPr>
              <w:t>,</w:t>
            </w:r>
            <w:r>
              <w:rPr>
                <w:sz w:val="20"/>
              </w:rPr>
              <w:t>并保证上述设施、设备处于正常可使用状态（设备设施的正常损耗除外），相关数据、档案材料完整无缺。</w:t>
            </w:r>
          </w:p>
          <w:p>
            <w:pPr>
              <w:pStyle w:val="null3"/>
              <w:ind w:firstLine="400"/>
            </w:pPr>
            <w:r>
              <w:rPr>
                <w:sz w:val="20"/>
              </w:rPr>
              <w:t>12.</w:t>
            </w:r>
            <w:r>
              <w:rPr>
                <w:sz w:val="20"/>
              </w:rPr>
              <w:t>对采购人出现未按要求及时支付管理费等违约事项时，供应商有权追究采购人的违约责任，但对工作成果不得进行留置。</w:t>
            </w:r>
          </w:p>
          <w:p>
            <w:pPr>
              <w:pStyle w:val="null3"/>
              <w:ind w:firstLine="400"/>
            </w:pPr>
            <w:r>
              <w:rPr>
                <w:sz w:val="20"/>
              </w:rPr>
              <w:t>13.</w:t>
            </w:r>
            <w:r>
              <w:rPr>
                <w:sz w:val="20"/>
              </w:rPr>
              <w:t>供应商应加强对工作人员及驻点管理人员的教育和管理，遵守采购人有关规章制度。对供应商工作人员及驻点管理人员在工作期间非因采购人原因造成的人身伤害及财产损失，由供应商承担责任。供应商的用工要符合国家的相关规定，供应商必须与招聘人员及时签订用工合同，并按照国家相关法律规定为招聘人员缴纳各项保险等。供应商与工作人员发生任何的经济、法律纠纷和人身损害赔偿等，由供应商自行解决。</w:t>
            </w:r>
          </w:p>
          <w:p>
            <w:pPr>
              <w:pStyle w:val="null3"/>
              <w:ind w:firstLine="400"/>
            </w:pPr>
            <w:r>
              <w:rPr>
                <w:sz w:val="20"/>
              </w:rPr>
              <w:t>14.</w:t>
            </w:r>
            <w:r>
              <w:rPr>
                <w:sz w:val="20"/>
              </w:rPr>
              <w:t>供应商支付给工作人员的工资，要符合国家和地方的相关规定，最低工资标准不得低于中山市最低工资标准，每月须按采购人支付的工资标准足额发放给工作人员，根据采购人的意见制定和完善各服务项目人员的考核办法，按采购人提供的考核结果对绩效工资进行二次分配，并按月支付。供应商要保证按国家和地方政府法律法规规定的时间给工作人员缴纳社保并发放工资。如供应商发生未准时支付工作人员工资的，须向采购人书面说明情况，采购人根据情况有权暂停支付相关管理服务费，由此引起的劳动纠纷由供应商负责承担相应的法律和经济责任。</w:t>
            </w:r>
          </w:p>
          <w:p>
            <w:pPr>
              <w:pStyle w:val="null3"/>
              <w:ind w:firstLine="400"/>
            </w:pPr>
            <w:r>
              <w:rPr>
                <w:sz w:val="20"/>
              </w:rPr>
              <w:t>15.</w:t>
            </w:r>
            <w:r>
              <w:rPr>
                <w:sz w:val="20"/>
              </w:rPr>
              <w:t>因供应商工作人员在工作期间造成采购人工作人员人身或财产损失、或第三人人身以及财产损失，导致采购人承担赔偿责任的，供应商应负责赔偿采购人的损失。</w:t>
            </w:r>
          </w:p>
          <w:p>
            <w:pPr>
              <w:pStyle w:val="null3"/>
              <w:ind w:firstLine="400"/>
            </w:pPr>
            <w:r>
              <w:rPr>
                <w:sz w:val="20"/>
              </w:rPr>
              <w:t>16.</w:t>
            </w:r>
            <w:r>
              <w:rPr>
                <w:sz w:val="20"/>
              </w:rPr>
              <w:t>供应商应保证派驻采购人工作人员的稳定，工作人员不得迟到、早退、随意旷工，凡请假者除经供应商批准外，需告知采购人管理人员，保证在采购人工作时间不能缺岗，否则采购人有权按实际影响后果对供应商要求赔偿。</w:t>
            </w:r>
          </w:p>
          <w:p>
            <w:pPr>
              <w:pStyle w:val="null3"/>
              <w:ind w:firstLine="400"/>
            </w:pPr>
            <w:r>
              <w:rPr>
                <w:sz w:val="20"/>
              </w:rPr>
              <w:t>17.</w:t>
            </w:r>
            <w:r>
              <w:rPr>
                <w:sz w:val="20"/>
              </w:rPr>
              <w:t>供应商应协助、配合采购人对审判辅助事务工作人员开展安全排查工作。</w:t>
            </w:r>
          </w:p>
          <w:p>
            <w:pPr>
              <w:pStyle w:val="null3"/>
              <w:ind w:firstLine="200"/>
            </w:pPr>
            <w:r>
              <w:rPr>
                <w:sz w:val="20"/>
              </w:rPr>
              <w:t>★</w:t>
            </w:r>
            <w:r>
              <w:rPr>
                <w:sz w:val="20"/>
              </w:rPr>
              <w:t>18.</w:t>
            </w:r>
            <w:r>
              <w:rPr>
                <w:sz w:val="20"/>
              </w:rPr>
              <w:t>供应商应郑重承诺，与后续中标方无缝对接。项目完成后，确保档案资料在指定的档案管理系统中可顺利查询调用，保障采购方工作连续高效。（投标文件中提供承诺函）</w:t>
            </w:r>
          </w:p>
        </w:tc>
      </w:tr>
      <w:tr>
        <w:tc>
          <w:tcPr>
            <w:tcW w:type="dxa" w:w="2076"/>
          </w:tcPr>
          <w:p/>
        </w:tc>
        <w:tc>
          <w:tcPr>
            <w:tcW w:type="dxa" w:w="415"/>
          </w:tcPr>
          <w:p>
            <w:pPr>
              <w:pStyle w:val="null3"/>
            </w:pPr>
            <w:r>
              <w:rPr/>
              <w:t>8</w:t>
            </w:r>
          </w:p>
        </w:tc>
        <w:tc>
          <w:tcPr>
            <w:tcW w:type="dxa" w:w="5814"/>
          </w:tcPr>
          <w:p>
            <w:pPr>
              <w:pStyle w:val="null3"/>
            </w:pPr>
            <w:r>
              <w:rPr>
                <w:sz w:val="20"/>
                <w:b/>
              </w:rPr>
              <w:t>八、技术支持和售后服务</w:t>
            </w:r>
          </w:p>
          <w:p>
            <w:pPr>
              <w:pStyle w:val="null3"/>
              <w:ind w:firstLine="400"/>
            </w:pPr>
            <w:r>
              <w:rPr>
                <w:sz w:val="20"/>
              </w:rPr>
              <w:t>★供应商应确保自项目整体通过验收合格之日起，提供为期一年的质量保证期服务（费用已包含在报价中）。在质量保证期内及期满后，供应商均需承担其实施项目的</w:t>
            </w:r>
            <w:r>
              <w:rPr>
                <w:sz w:val="20"/>
              </w:rPr>
              <w:t>24</w:t>
            </w:r>
            <w:r>
              <w:rPr>
                <w:sz w:val="20"/>
              </w:rPr>
              <w:t>小时连续技术支持服务，全面满足需求。供应商需在</w:t>
            </w:r>
            <w:r>
              <w:rPr>
                <w:sz w:val="20"/>
              </w:rPr>
              <w:t>2</w:t>
            </w:r>
            <w:r>
              <w:rPr>
                <w:sz w:val="20"/>
              </w:rPr>
              <w:t>小时内到场，并确保第二个工作日内解决故障；若无法按时完成，则需采取应急措施，确保采购方正常运行。在质量保证期结束后，技术支持与维护服务应按成本价收费。若在三年内采购方因自身系统升级需求进行档案扫描数据迁移，供应商应配合系统开发商提供数据迁移服务（费用已包含在报价中）。同时，对于故障光盘，供应商应提供补充刻录服务。投标人需列出详细的售后服务计划，其内容包括服务期内和服务期后的售后服务计划。</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广东省中山市中级人民法院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采购机构代理服务收费标准：(1)按差额定率累进法计算标准收取: 1.中标金额（100万元或以下），招标收费费率1.5%；2.中标金额（100万元（不含）-500万元（含）），招标收费费率1.1%；3.中标金额（500万元（不含）-1000万元（含）），招标收费费率0.8%；(2)代理服务费的货币为人民币；(3)代理服务费支付方式：一次性以银行划帐、电汇、汇票或支票的形式支付；(4)代理服务费支付时间：代理服务费必须在中标人领取《中标通知书》时一次性付清，如果中标人未能按时交纳代理服务费，采购代理机构/采购人保留追究其法律责任的权利；(5)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（2），“格式二十五、政府采购履约担保函、采购合同履约保险凭证”由供应商根据需要选用，不提供不影响其投标文件的有效性。</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凌小姐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电子卷宗随案同步生成及档案管理和诉讼事务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采购包1（电子卷宗随案同步生成及档案管理和诉讼事务服务）：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采购包1（电子卷宗随案同步生成及档案管理和诉讼事务服务）：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格式详见公告附件）或提供投标截止时间前6个月内任意1个月依法缴纳税收和社会保障资金的相关材料（如依法免税或不需要缴纳社会保障资金的，提供相应证明材料。），若投标人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政府采购供应商资格信用承诺函》（格式详见公告附件），或提供2023年财务报告（或2024年9月至今任意一个月份财务报表）关键页或由基本开户银行出具的资信证明或政府采购专业担保机构出具的投标担保函）。若投标人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其他要求</w:t>
            </w:r>
          </w:p>
        </w:tc>
        <w:tc>
          <w:tcPr>
            <w:tcW w:type="dxa" w:w="4238"/>
          </w:tcPr>
          <w:p>
            <w:pPr>
              <w:pStyle w:val="null3"/>
            </w:pPr>
            <w:r>
              <w:rPr/>
              <w:t>无围标、串标行为（出具《无围标、串标行为承诺书》，格式详见采购公告附件）。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供应商须为符合《政府采购促进中小企业发展管理办法》（财库〔2020〕46号）规定和《中小企业划型标准规定》（工信部联企业[2011]300号）的中型、小型、微型企业。（本项目采购标的对应行业：软件和信息技术服务业） 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采购包1（电子卷宗随案同步生成及档案管理和诉讼事务服务）：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采购包1(电子卷宗随案同步生成及档案管理和诉讼事务服务):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商务部分41.0分</w:t>
            </w:r>
          </w:p>
          <w:p>
            <w:pPr>
              <w:pStyle w:val="null3"/>
            </w:pPr>
            <w:r>
              <w:rPr/>
              <w:t>技术部分49.0分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(5.0分)</w:t>
            </w:r>
          </w:p>
        </w:tc>
        <w:tc>
          <w:tcPr>
            <w:tcW w:type="dxa" w:w="5076"/>
          </w:tcPr>
          <w:p>
            <w:pPr>
              <w:pStyle w:val="null3"/>
              <w:jc w:val="left"/>
            </w:pPr>
            <w:r>
              <w:rPr/>
              <w:t>针对供应商对服务项目背景、目标、需求等的理解和把握准确程度；是否有具体投标方案的功能描述；整体架构合理性、完整性；系统功能是否满足需求等内容进行综合评价。 1.具有服务需求分析，准确理解采购人需求和工作任务、服务对象及要求，投标方案详细、架构完整合理，整体规划可行得5分； 2.具有服务需求分析，较理解采购人需求和工作任务、服务对象及要求，投标方案较为详细、架构基本完整，整体规划基本可行得3分； 3.具有简单的服务需求分析，对采购人需求和工作任务、服务对象及要求理解有偏差，投标方案不详细、架构不完整，整体规划较差得1分； 4.无提供不得分。</w:t>
            </w:r>
          </w:p>
        </w:tc>
      </w:tr>
      <w:tr>
        <w:tc>
          <w:tcPr>
            <w:tcW w:type="dxa" w:w="922"/>
            <w:gridSpan w:val="2"/>
            <w:vMerge/>
          </w:tcPr>
          <w:p/>
        </w:tc>
        <w:tc>
          <w:tcPr>
            <w:tcW w:type="dxa" w:w="2307"/>
          </w:tcPr>
          <w:p>
            <w:pPr>
              <w:pStyle w:val="null3"/>
              <w:jc w:val="left"/>
            </w:pPr>
            <w:r>
              <w:rPr/>
              <w:t>人力资源管理及保障措施 (6.0分)</w:t>
            </w:r>
          </w:p>
        </w:tc>
        <w:tc>
          <w:tcPr>
            <w:tcW w:type="dxa" w:w="5076"/>
          </w:tcPr>
          <w:p>
            <w:pPr>
              <w:pStyle w:val="null3"/>
              <w:jc w:val="left"/>
            </w:pPr>
            <w:r>
              <w:rPr/>
              <w:t>根据供应商提供的人力资源管理及保障措施进行评审，包含但不限于：①内部管理架构；②管理规章制度；③项目实施人员岗位职责；④人员储备计划；⑤人员稳定及薪资福利待遇；⑥人员培训方案； 1.方案详细具体，科学合理，具有可操作性，完全满足招标文件需求，能全面高效地完成本项目，得6分； 2.方案较为全面，具有合理性和可操作性，基本满足招标文件需求得3分； 3.方案简单或有偏差或有不合理性，可操作性一般，可能影响项目实施得1分； 4.无提供不得分。</w:t>
            </w:r>
          </w:p>
        </w:tc>
      </w:tr>
      <w:tr>
        <w:tc>
          <w:tcPr>
            <w:tcW w:type="dxa" w:w="922"/>
            <w:gridSpan w:val="2"/>
            <w:vMerge/>
          </w:tcPr>
          <w:p/>
        </w:tc>
        <w:tc>
          <w:tcPr>
            <w:tcW w:type="dxa" w:w="2307"/>
          </w:tcPr>
          <w:p>
            <w:pPr>
              <w:pStyle w:val="null3"/>
              <w:jc w:val="left"/>
            </w:pPr>
            <w:r>
              <w:rPr/>
              <w:t>项目服务方案 (15.0分)</w:t>
            </w:r>
          </w:p>
        </w:tc>
        <w:tc>
          <w:tcPr>
            <w:tcW w:type="dxa" w:w="5076"/>
          </w:tcPr>
          <w:p>
            <w:pPr>
              <w:pStyle w:val="null3"/>
              <w:jc w:val="left"/>
            </w:pPr>
            <w:r>
              <w:rPr/>
              <w:t>根据投标人提供的项目服务方案进行评审，包括但不限于①项目流程设计方案；②项目进度管理方案；③项目风险管理方案；④项目质量管理方案；⑤项目沟通管理方案；⑥卷宗实体安全管理方案；进行评审： 1.方案详细具体，科学合理，具有可操作性，完全满足招标文件需求，能全面高效地完成本项目，得15分； 2.方案较为全面，具有合理性和可操作性，基本满足招标文件需求得10分； 4.方案简单或有偏差或有不合理性，可操作性一般，可能影响项目实施得6分； 5.无提供不得分。</w:t>
            </w:r>
          </w:p>
        </w:tc>
      </w:tr>
      <w:tr>
        <w:tc>
          <w:tcPr>
            <w:tcW w:type="dxa" w:w="922"/>
            <w:gridSpan w:val="2"/>
            <w:vMerge/>
          </w:tcPr>
          <w:p/>
        </w:tc>
        <w:tc>
          <w:tcPr>
            <w:tcW w:type="dxa" w:w="2307"/>
          </w:tcPr>
          <w:p>
            <w:pPr>
              <w:pStyle w:val="null3"/>
              <w:jc w:val="left"/>
            </w:pPr>
            <w:r>
              <w:rPr/>
              <w:t>档案数字化加工软件、RFID管理软件-现场演示 (12.0分)</w:t>
            </w:r>
          </w:p>
        </w:tc>
        <w:tc>
          <w:tcPr>
            <w:tcW w:type="dxa" w:w="5076"/>
          </w:tcPr>
          <w:p>
            <w:pPr>
              <w:pStyle w:val="null3"/>
              <w:jc w:val="left"/>
            </w:pPr>
            <w:r>
              <w:rPr/>
              <w:t>(一)根据供应商自带软件系统提供的档案数字化加工功能的演示情况进行评审：(6分) 1.项目总进度监测功能：查看项目排产，项目总进度，各个工序汇总产量情况，预警功能； 2.流程追溯监控功能：可对一批次和一份档案进行实时、可视化的流程跟踪，了解该批次档案的实时加工进度及产能，以及每个加工步骤的实时经办人员情况； 3.档案著录OCR功能：数字化加工系统集成智能OCR图文识别功能,支持设置识别模板，实现快速著录； 4.质检管理功能：具备可配置的质检项、提供质量反馈机制：可以针对每页扫描件添加质检意见、打印质检报表、批次在线回退； 5.报表统计功能：灵活的报表配置，实现工作量日、周、月、年统计报表、幅面统计报表等。 (1)供应商的演示中含上述5项功能的，得2分，每缺少一项扣0.4分。 (2)对功能演示内容进行评审： a.各项功能演示内容直观、完整、准确，功能运行稳定、流畅，操作简便，界面清晰、友好，符合项目需要，可以快速投入项目实施得4分； b.各项功能演示内容基本完整或稍有缺失或不够直观，功能运行基本流畅或存在个别小故障或错误，但不影响整体演示效果，操作较简便，界面清晰或有部分模糊，基本符合项目需要，可以尽快或在短期内投入项目实施得2分； c.各项功能演示内容不够完整、直观，功能运行存在一些问题或错误，可能影响整体演示效果，操作不够简便，界面模糊不清，部分符合项目需要得0.5分。 (二)根据供应商自带软件系统提供的RFID管理功能的演示情况进行评审：(6分) 1.入库登记：通过RFID读写器批量读取标签自动录入系统，与案卷进行绑定； 2.位置追踪：通过RFID手持移动终端快速查找到相应档案并发出声音提醒，实时监控档案所在区域； 3.流转记录：通过RFID读写器快速办理档案出入库，记录档案流转信息； 4.数据查询及统计分析：支持模糊检索(关键字、时间范围、类别)，系统显示档案实时位置及状态，可以进行统计分析。 (1)供应商的演示中含上述4项功能的，得2分，每缺少一项扣0.5分。 (2)对功能演示内容进行评审： a.各项功能演示内容直观、完整、准确，功能运行稳定、流畅，操作简便，界面清晰、友好，符合项目需要，可以快速投入项目实施得4分； b.各项功能演示内容基本完整或稍有缺失或不够直观，功能运行基本流畅或存在个别小故障或错误，但不影响整体演示效果，操作较简便，界面清晰或有部分模糊，基本符合项目需要，可以尽快或在短期内投入项目实施得2分； c.各项功能演示内容不够完整、直观，功能运行存在一些问题或错误，可能影响整体演示效果，操作不够简便，界面模糊不清，部分符合项目需要得0.5分。</w:t>
            </w:r>
          </w:p>
        </w:tc>
      </w:tr>
      <w:tr>
        <w:tc>
          <w:tcPr>
            <w:tcW w:type="dxa" w:w="922"/>
            <w:gridSpan w:val="2"/>
            <w:vMerge/>
          </w:tcPr>
          <w:p/>
        </w:tc>
        <w:tc>
          <w:tcPr>
            <w:tcW w:type="dxa" w:w="2307"/>
          </w:tcPr>
          <w:p>
            <w:pPr>
              <w:pStyle w:val="null3"/>
              <w:jc w:val="left"/>
            </w:pPr>
            <w:r>
              <w:rPr/>
              <w:t>应急情况处理 (5.0分)</w:t>
            </w:r>
          </w:p>
        </w:tc>
        <w:tc>
          <w:tcPr>
            <w:tcW w:type="dxa" w:w="5076"/>
          </w:tcPr>
          <w:p>
            <w:pPr>
              <w:pStyle w:val="null3"/>
              <w:jc w:val="left"/>
            </w:pPr>
            <w:r>
              <w:rPr/>
              <w:t>根据供应商提供的应急情况处理方案进行评审：包含但不限于应急事项的处理流程和处理方法以及日常预防机制。 （1）方案具有针对性和可行性，内容全面详实，应急处理措施到位，符合项目需要得5分； （2）方案具有一定的针对性和可行性，内容或有微小缺失，但不影响项目整体实施，基本符合项目需要得3分； （3）方案无针对性，缺乏可行性，内容简单或有缺失，可能影响项目实施得1分； （4）未提供不得分。</w:t>
            </w:r>
          </w:p>
        </w:tc>
      </w:tr>
      <w:tr>
        <w:tc>
          <w:tcPr>
            <w:tcW w:type="dxa" w:w="922"/>
            <w:gridSpan w:val="2"/>
            <w:vMerge/>
          </w:tcPr>
          <w:p/>
        </w:tc>
        <w:tc>
          <w:tcPr>
            <w:tcW w:type="dxa" w:w="2307"/>
          </w:tcPr>
          <w:p>
            <w:pPr>
              <w:pStyle w:val="null3"/>
              <w:jc w:val="left"/>
            </w:pPr>
            <w:r>
              <w:rPr/>
              <w:t>安全保密方案 (3.0分)</w:t>
            </w:r>
          </w:p>
        </w:tc>
        <w:tc>
          <w:tcPr>
            <w:tcW w:type="dxa" w:w="5076"/>
          </w:tcPr>
          <w:p>
            <w:pPr>
              <w:pStyle w:val="null3"/>
              <w:jc w:val="left"/>
            </w:pPr>
            <w:r>
              <w:rPr/>
              <w:t>根据供应商提供的安全保密方案进行评审：包含但不限于1、保密安全管理制度；2、保密教育管理；3、工作场所、人员及设备保密管理；4、保密台账。 （1）方案具有针对性和可行性，内容全面详实，保密处理措施到位，符合项目需要得3分； （2）方案具有一定的针对性和可行性，内容或有微小缺失，但不影响项目整体实施，基本符合项目需要得2分； （3）方案无针对性，缺乏可行性，内容简单或有缺失，可能影响项目实施得得1分； （5）未提供对应方案不得分。</w:t>
            </w:r>
          </w:p>
        </w:tc>
      </w:tr>
      <w:tr>
        <w:tc>
          <w:tcPr>
            <w:tcW w:type="dxa" w:w="922"/>
            <w:gridSpan w:val="2"/>
            <w:vMerge/>
          </w:tcPr>
          <w:p/>
        </w:tc>
        <w:tc>
          <w:tcPr>
            <w:tcW w:type="dxa" w:w="2307"/>
          </w:tcPr>
          <w:p>
            <w:pPr>
              <w:pStyle w:val="null3"/>
              <w:jc w:val="left"/>
            </w:pPr>
            <w:r>
              <w:rPr/>
              <w:t>培训方案 (3.0分)</w:t>
            </w:r>
          </w:p>
        </w:tc>
        <w:tc>
          <w:tcPr>
            <w:tcW w:type="dxa" w:w="5076"/>
          </w:tcPr>
          <w:p>
            <w:pPr>
              <w:pStyle w:val="null3"/>
              <w:jc w:val="left"/>
            </w:pPr>
            <w:r>
              <w:rPr/>
              <w:t>根据供应商提供的培训方案进行评审：包含但不限于1、保密知识培训；2、业务技能培训；3、培训考核。 （1）提供服务人员培训方案，培训计划完善，具有合理性和可行性，得3分； （2）提供服务人员培训方案，培训计划基本完善或有微小缺失，但不影响项目实施、有一定的合理性和可行性，得2分； （3）提供服务人员培训方案，但培训计划内容简单或有缺失，无针对性，缺乏可行性，可能影响项目实施得1分； （4）未提供对应方案不得分。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技术实施能力 (10.0分)</w:t>
            </w:r>
          </w:p>
        </w:tc>
        <w:tc>
          <w:tcPr>
            <w:tcW w:type="dxa" w:w="5076"/>
          </w:tcPr>
          <w:p>
            <w:pPr>
              <w:pStyle w:val="null3"/>
              <w:jc w:val="left"/>
            </w:pPr>
            <w:r>
              <w:rPr/>
              <w:t>根据供应商提供自主知识产权或软件产品开发商的软件著作权证书情况进行综合评审，提供包括但不限于：档案数字化加工类(或电子卷宗随案扫描生成类)、档案中间库管理平台类、档案数据自动识别录入类、全流程服务数据可视化类、档案RFID电子标签智能控制软件类等软件。 注：每提供一项得2分，满分10分；说明：①提供相关证书复印件并加软件系统开发商公章(如为自主产权提供相关证书复印件并加盖供应商公章)；否则不得分。②同一类别具有多个证书不重复得分；同一证书包含多个类别的不重复得分，按本项总得分最高的方式计算得分；③证书名称不作为唯一的判定依据，如证书内容无法证明其类别的，可提供相关证明材料(须加盖投标人公章)，因证明材料不足导致评标委员会无法判定的不得分。</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供应商在2020年1月1日以来（以合同签订时间为准）承担过随案生成或档案数字化服务项目，每提供一项得2分，本项最高得10分。 注：须提供项目合同关键页复印件并加盖投标人公章，不提供不得分。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根据供应商上述被有效计分的业绩项目中，用户单位出具的好评数量(结果为“90分以上”或“优秀”或“满意”或相同含义的评价)进行评审：每提供一份得2分，满分10分 。 注：提供业主服务评价证明文件(项目名称须与对应合同一致 )复印件并加盖公章，未按要求提供的不得分。</w:t>
            </w:r>
          </w:p>
        </w:tc>
      </w:tr>
      <w:tr>
        <w:tc>
          <w:tcPr>
            <w:tcW w:type="dxa" w:w="922"/>
            <w:gridSpan w:val="2"/>
            <w:vMerge/>
          </w:tcPr>
          <w:p/>
        </w:tc>
        <w:tc>
          <w:tcPr>
            <w:tcW w:type="dxa" w:w="2307"/>
          </w:tcPr>
          <w:p>
            <w:pPr>
              <w:pStyle w:val="null3"/>
              <w:jc w:val="left"/>
            </w:pPr>
            <w:r>
              <w:rPr/>
              <w:t>拟派项目经理和现场服务人员能力 (11.0分)</w:t>
            </w:r>
          </w:p>
        </w:tc>
        <w:tc>
          <w:tcPr>
            <w:tcW w:type="dxa" w:w="5076"/>
          </w:tcPr>
          <w:p>
            <w:pPr>
              <w:pStyle w:val="null3"/>
              <w:jc w:val="left"/>
            </w:pPr>
            <w:r>
              <w:rPr/>
              <w:t>（1）供应商拟投入的技术服务人员（不要求驻场，对供应商提供的软硬件进行维修维护）持有保密局颁发的保密培训证书，每提供一人得0.5分，最高得1分； （2）供应商拟投入项目经理（一人，要求驻场）资质要求如下：具有一定的协调沟通写作分析能力，有项目管理经验，持有全日制大学本科或以上学历证书的得5分； （3）供应商拟投入的现场服务人员：持有档案管理部门颁发的档案专业人员岗位培训证书，每提供一人得0.5分，最高5分。 注：1.提供以上证书复印件，并提供由供应商为其代缴的响应截止时间前6个月任意1个月的社保证明复印件。 2.一人一岗，相同人员不同岗位不重复计分。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pPr>
      <w:r>
        <w:rPr>
          <w:sz w:val="20"/>
        </w:rPr>
        <w:t>甲方</w:t>
      </w:r>
      <w:r>
        <w:rPr>
          <w:sz w:val="20"/>
        </w:rPr>
        <w:t>:</w:t>
      </w:r>
      <w:r>
        <w:rPr>
          <w:sz w:val="20"/>
        </w:rPr>
        <w:t>（委托方）</w:t>
      </w:r>
      <w:r>
        <w:rPr>
          <w:sz w:val="20"/>
          <w:u w:val="single"/>
        </w:rPr>
        <w:t xml:space="preserve">                   </w:t>
      </w:r>
    </w:p>
    <w:p>
      <w:pPr>
        <w:pStyle w:val="null3"/>
      </w:pPr>
      <w:r>
        <w:rPr>
          <w:sz w:val="20"/>
        </w:rPr>
        <w:t>法定代表人：</w:t>
      </w:r>
      <w:r>
        <w:rPr>
          <w:sz w:val="20"/>
          <w:u w:val="single"/>
        </w:rPr>
        <w:t xml:space="preserve">                        </w:t>
      </w:r>
    </w:p>
    <w:p>
      <w:pPr>
        <w:pStyle w:val="null3"/>
      </w:pPr>
      <w:r>
        <w:rPr>
          <w:sz w:val="20"/>
        </w:rPr>
        <w:t>乙方</w:t>
      </w:r>
      <w:r>
        <w:rPr>
          <w:sz w:val="20"/>
        </w:rPr>
        <w:t>:</w:t>
      </w:r>
      <w:r>
        <w:rPr>
          <w:sz w:val="20"/>
        </w:rPr>
        <w:t>（受托方）</w:t>
      </w:r>
      <w:r>
        <w:rPr>
          <w:sz w:val="20"/>
          <w:u w:val="single"/>
        </w:rPr>
        <w:t xml:space="preserve">                             </w:t>
      </w:r>
    </w:p>
    <w:p>
      <w:pPr>
        <w:pStyle w:val="null3"/>
      </w:pPr>
      <w:r>
        <w:rPr>
          <w:sz w:val="20"/>
        </w:rPr>
        <w:t>法定代表人：</w:t>
      </w:r>
      <w:r>
        <w:rPr>
          <w:sz w:val="20"/>
          <w:u w:val="single"/>
        </w:rPr>
        <w:t xml:space="preserve">                         </w:t>
      </w:r>
    </w:p>
    <w:p>
      <w:pPr>
        <w:pStyle w:val="null3"/>
      </w:pPr>
      <w:r>
        <w:rPr>
          <w:sz w:val="20"/>
        </w:rPr>
        <w:t>根据广东省中山市中级人民法院</w:t>
      </w:r>
      <w:r>
        <w:rPr>
          <w:sz w:val="20"/>
        </w:rPr>
        <w:t>2025</w:t>
      </w:r>
      <w:r>
        <w:rPr>
          <w:sz w:val="20"/>
        </w:rPr>
        <w:t>年电子卷宗随案同步生成及档案管理和诉讼事务服务项目</w:t>
      </w:r>
      <w:r>
        <w:rPr>
          <w:sz w:val="20"/>
        </w:rPr>
        <w:t>(</w:t>
      </w:r>
      <w:r>
        <w:rPr>
          <w:sz w:val="20"/>
        </w:rPr>
        <w:t>项目编号：</w:t>
      </w:r>
      <w:r>
        <w:rPr>
          <w:sz w:val="20"/>
          <w:u w:val="single"/>
        </w:rPr>
        <w:t xml:space="preserve">    </w:t>
      </w:r>
      <w:r>
        <w:rPr>
          <w:sz w:val="20"/>
        </w:rPr>
        <w:t>)</w:t>
      </w:r>
      <w:r>
        <w:rPr>
          <w:sz w:val="20"/>
        </w:rPr>
        <w:t>的采购结果，广东省中山市中级人民法院（以下简称甲方）与（以下简称乙方）为明确双方在项目中的权利、义务和经济责任，经双方协商同意签订本合同。</w:t>
      </w:r>
    </w:p>
    <w:p>
      <w:pPr>
        <w:pStyle w:val="null3"/>
      </w:pPr>
      <w:r>
        <w:rPr>
          <w:sz w:val="20"/>
        </w:rPr>
        <w:t>一、项目服务范围</w:t>
      </w:r>
    </w:p>
    <w:p>
      <w:pPr>
        <w:pStyle w:val="null3"/>
      </w:pPr>
      <w:r>
        <w:rPr>
          <w:sz w:val="20"/>
        </w:rPr>
        <w:t>乙方为甲方提供以下服务，包括：</w:t>
      </w:r>
    </w:p>
    <w:p>
      <w:pPr>
        <w:pStyle w:val="null3"/>
        <w:ind w:firstLine="400"/>
      </w:pPr>
      <w:r>
        <w:rPr>
          <w:sz w:val="20"/>
        </w:rPr>
        <w:t>1.</w:t>
      </w:r>
      <w:r>
        <w:rPr>
          <w:sz w:val="20"/>
        </w:rPr>
        <w:t>电子卷宗随案同步生成服务（约</w:t>
      </w:r>
      <w:r>
        <w:rPr>
          <w:sz w:val="20"/>
        </w:rPr>
        <w:t>13</w:t>
      </w:r>
      <w:r>
        <w:rPr>
          <w:sz w:val="20"/>
        </w:rPr>
        <w:t>人，约</w:t>
      </w:r>
      <w:r>
        <w:rPr>
          <w:sz w:val="20"/>
        </w:rPr>
        <w:t>1.2</w:t>
      </w:r>
      <w:r>
        <w:rPr>
          <w:sz w:val="20"/>
        </w:rPr>
        <w:t>万宗卷宗）：材料收转、立案阶段材料扫描、审理阶段补充材料扫描、材料编目质检、纸质卷宗管理、一键电子转（归）档以及纸质卷归档、整理卷宗和档案装订上架工作的全流程无纸化服务。</w:t>
      </w:r>
    </w:p>
    <w:p>
      <w:pPr>
        <w:pStyle w:val="null3"/>
        <w:ind w:firstLine="400"/>
      </w:pPr>
      <w:r>
        <w:rPr>
          <w:sz w:val="20"/>
        </w:rPr>
        <w:t>2.</w:t>
      </w:r>
      <w:r>
        <w:rPr>
          <w:sz w:val="20"/>
        </w:rPr>
        <w:t>档案图文数字化服务（约</w:t>
      </w:r>
      <w:r>
        <w:rPr>
          <w:sz w:val="20"/>
        </w:rPr>
        <w:t>7</w:t>
      </w:r>
      <w:r>
        <w:rPr>
          <w:sz w:val="20"/>
        </w:rPr>
        <w:t>人，流水线工作）：档案接收领取、纸质档案扫描前整理、档案电子影像扫描、图像处理、图文信息著录、图文质量检查、数据挂接和档案装订工作。含库存诉讼档案、文书档案、会计档案、照片档案等各类库存未数字化档案，以及核对并验收我院库存已数字化档案数据。</w:t>
      </w:r>
    </w:p>
    <w:p>
      <w:pPr>
        <w:pStyle w:val="null3"/>
        <w:ind w:firstLine="400"/>
      </w:pPr>
      <w:r>
        <w:rPr>
          <w:sz w:val="20"/>
        </w:rPr>
        <w:t>3.</w:t>
      </w:r>
      <w:r>
        <w:rPr>
          <w:sz w:val="20"/>
        </w:rPr>
        <w:t>诉讼辅助服务（约</w:t>
      </w:r>
      <w:r>
        <w:rPr>
          <w:sz w:val="20"/>
        </w:rPr>
        <w:t xml:space="preserve">9 </w:t>
      </w:r>
      <w:r>
        <w:rPr>
          <w:sz w:val="20"/>
        </w:rPr>
        <w:t>人，约</w:t>
      </w:r>
      <w:r>
        <w:rPr>
          <w:sz w:val="20"/>
        </w:rPr>
        <w:t xml:space="preserve">1.7 </w:t>
      </w:r>
      <w:r>
        <w:rPr>
          <w:sz w:val="20"/>
        </w:rPr>
        <w:t>万宗卷宗）：立案扫描、立案信息录入、文书制作与打印，以及诉讼材料的送达工作等。</w:t>
      </w:r>
    </w:p>
    <w:p>
      <w:pPr>
        <w:pStyle w:val="null3"/>
        <w:ind w:firstLine="400"/>
      </w:pPr>
      <w:r>
        <w:rPr>
          <w:sz w:val="20"/>
        </w:rPr>
        <w:t>4.</w:t>
      </w:r>
      <w:r>
        <w:rPr>
          <w:sz w:val="20"/>
        </w:rPr>
        <w:t>档案管理服务（约</w:t>
      </w:r>
      <w:r>
        <w:rPr>
          <w:sz w:val="20"/>
        </w:rPr>
        <w:t xml:space="preserve">11 </w:t>
      </w:r>
      <w:r>
        <w:rPr>
          <w:sz w:val="20"/>
        </w:rPr>
        <w:t>人）：协助档案追收、档案整理（约</w:t>
      </w:r>
      <w:r>
        <w:rPr>
          <w:sz w:val="20"/>
        </w:rPr>
        <w:t xml:space="preserve">5000 </w:t>
      </w:r>
      <w:r>
        <w:rPr>
          <w:sz w:val="20"/>
        </w:rPr>
        <w:t>宗）、接收检查、库房盘点、档案咨询服务、协助办理档案查阅与借阅手续、调取档案资料、</w:t>
      </w:r>
      <w:r>
        <w:rPr>
          <w:sz w:val="20"/>
        </w:rPr>
        <w:t xml:space="preserve">RFID </w:t>
      </w:r>
      <w:r>
        <w:rPr>
          <w:sz w:val="20"/>
        </w:rPr>
        <w:t>库房卷宗管理（提供</w:t>
      </w:r>
      <w:r>
        <w:rPr>
          <w:sz w:val="20"/>
        </w:rPr>
        <w:t xml:space="preserve">7 </w:t>
      </w:r>
      <w:r>
        <w:rPr>
          <w:sz w:val="20"/>
        </w:rPr>
        <w:t>万条</w:t>
      </w:r>
      <w:r>
        <w:rPr>
          <w:sz w:val="20"/>
        </w:rPr>
        <w:t xml:space="preserve">RFID </w:t>
      </w:r>
      <w:r>
        <w:rPr>
          <w:sz w:val="20"/>
        </w:rPr>
        <w:t>电子标签）、档案管理系统升级维护、档案搬迁等相关工作。</w:t>
      </w:r>
    </w:p>
    <w:p>
      <w:pPr>
        <w:pStyle w:val="null3"/>
        <w:ind w:firstLine="400"/>
      </w:pPr>
      <w:r>
        <w:rPr>
          <w:sz w:val="20"/>
        </w:rPr>
        <w:t>(</w:t>
      </w:r>
      <w:r>
        <w:rPr>
          <w:sz w:val="20"/>
        </w:rPr>
        <w:t>其他招标文件涉及的内容</w:t>
      </w:r>
      <w:r>
        <w:rPr>
          <w:sz w:val="20"/>
        </w:rPr>
        <w:t>)</w:t>
      </w:r>
    </w:p>
    <w:p>
      <w:pPr>
        <w:pStyle w:val="null3"/>
      </w:pPr>
      <w:r>
        <w:rPr>
          <w:sz w:val="20"/>
        </w:rPr>
        <w:t>二、人员要求</w:t>
      </w:r>
    </w:p>
    <w:p>
      <w:pPr>
        <w:pStyle w:val="null3"/>
      </w:pPr>
      <w:r>
        <w:rPr>
          <w:sz w:val="20"/>
        </w:rPr>
        <w:t>1.</w:t>
      </w:r>
      <w:r>
        <w:rPr>
          <w:sz w:val="20"/>
        </w:rPr>
        <w:t>根据以上服务内容，拟投入本项目的工作人员不得少于</w:t>
      </w:r>
      <w:r>
        <w:rPr>
          <w:sz w:val="20"/>
        </w:rPr>
        <w:t>40</w:t>
      </w:r>
      <w:r>
        <w:rPr>
          <w:sz w:val="20"/>
        </w:rPr>
        <w:t>人。</w:t>
      </w:r>
    </w:p>
    <w:p>
      <w:pPr>
        <w:pStyle w:val="null3"/>
        <w:ind w:firstLine="400"/>
      </w:pPr>
      <w:r>
        <w:rPr>
          <w:sz w:val="20"/>
        </w:rPr>
        <w:t>（</w:t>
      </w:r>
      <w:r>
        <w:rPr>
          <w:sz w:val="20"/>
        </w:rPr>
        <w:t>1</w:t>
      </w:r>
      <w:r>
        <w:rPr>
          <w:sz w:val="20"/>
        </w:rPr>
        <w:t>）坚持四项基本原则，有良好的政治素质，遵纪守法，作风正派，品行端正，无违法犯罪记录，热爱法院工作；</w:t>
      </w:r>
    </w:p>
    <w:p>
      <w:pPr>
        <w:pStyle w:val="null3"/>
        <w:ind w:firstLine="400"/>
      </w:pPr>
      <w:r>
        <w:rPr>
          <w:sz w:val="20"/>
        </w:rPr>
        <w:t>（</w:t>
      </w:r>
      <w:r>
        <w:rPr>
          <w:sz w:val="20"/>
        </w:rPr>
        <w:t>2</w:t>
      </w:r>
      <w:r>
        <w:rPr>
          <w:sz w:val="20"/>
        </w:rPr>
        <w:t>）具有正常履行职责的身体条件和工作能力，工作责任感强，能吃苦耐劳，工作细致，能承受工作压力，有良好的沟通能力和团队合作精神；</w:t>
      </w:r>
    </w:p>
    <w:p>
      <w:pPr>
        <w:pStyle w:val="null3"/>
        <w:ind w:firstLine="400"/>
      </w:pPr>
      <w:r>
        <w:rPr>
          <w:sz w:val="20"/>
        </w:rPr>
        <w:t>（</w:t>
      </w:r>
      <w:r>
        <w:rPr>
          <w:sz w:val="20"/>
        </w:rPr>
        <w:t>3</w:t>
      </w:r>
      <w:r>
        <w:rPr>
          <w:sz w:val="20"/>
        </w:rPr>
        <w:t>）身体健康，能胜任服务岗位的工作；</w:t>
      </w:r>
    </w:p>
    <w:p>
      <w:pPr>
        <w:pStyle w:val="null3"/>
        <w:ind w:firstLine="400"/>
      </w:pPr>
      <w:r>
        <w:rPr>
          <w:sz w:val="20"/>
        </w:rPr>
        <w:t>（</w:t>
      </w:r>
      <w:r>
        <w:rPr>
          <w:sz w:val="20"/>
        </w:rPr>
        <w:t>4</w:t>
      </w:r>
      <w:r>
        <w:rPr>
          <w:sz w:val="20"/>
        </w:rPr>
        <w:t>）能熟练操作计算机，会使用常用办公软件（如：</w:t>
      </w:r>
      <w:r>
        <w:rPr>
          <w:sz w:val="20"/>
        </w:rPr>
        <w:t>Word</w:t>
      </w:r>
      <w:r>
        <w:rPr>
          <w:sz w:val="20"/>
        </w:rPr>
        <w:t>、</w:t>
      </w:r>
      <w:r>
        <w:rPr>
          <w:sz w:val="20"/>
        </w:rPr>
        <w:t>Excel</w:t>
      </w:r>
      <w:r>
        <w:rPr>
          <w:sz w:val="20"/>
        </w:rPr>
        <w:t>），快速进行文字输入工作及档案整理工作；</w:t>
      </w:r>
    </w:p>
    <w:p>
      <w:pPr>
        <w:pStyle w:val="null3"/>
        <w:ind w:firstLine="400"/>
      </w:pPr>
      <w:r>
        <w:rPr>
          <w:sz w:val="20"/>
        </w:rPr>
        <w:t>（</w:t>
      </w:r>
      <w:r>
        <w:rPr>
          <w:sz w:val="20"/>
        </w:rPr>
        <w:t>5</w:t>
      </w:r>
      <w:r>
        <w:rPr>
          <w:sz w:val="20"/>
        </w:rPr>
        <w:t>）遵守中山市中级人民法院日常管理制度及工作规范。</w:t>
      </w:r>
    </w:p>
    <w:p>
      <w:pPr>
        <w:pStyle w:val="null3"/>
      </w:pPr>
      <w:r>
        <w:rPr>
          <w:sz w:val="20"/>
        </w:rPr>
        <w:t>2.</w:t>
      </w:r>
      <w:r>
        <w:rPr>
          <w:sz w:val="20"/>
        </w:rPr>
        <w:t>下列人员不得担任本工作人员：</w:t>
      </w:r>
    </w:p>
    <w:p>
      <w:pPr>
        <w:pStyle w:val="null3"/>
        <w:ind w:firstLine="400"/>
      </w:pPr>
      <w:r>
        <w:rPr>
          <w:sz w:val="20"/>
        </w:rPr>
        <w:t>（</w:t>
      </w:r>
      <w:r>
        <w:rPr>
          <w:sz w:val="20"/>
        </w:rPr>
        <w:t>1</w:t>
      </w:r>
      <w:r>
        <w:rPr>
          <w:sz w:val="20"/>
        </w:rPr>
        <w:t>）因犯罪受过刑事处罚的；</w:t>
      </w:r>
    </w:p>
    <w:p>
      <w:pPr>
        <w:pStyle w:val="null3"/>
        <w:ind w:firstLine="400"/>
      </w:pPr>
      <w:r>
        <w:rPr>
          <w:sz w:val="20"/>
        </w:rPr>
        <w:t>（</w:t>
      </w:r>
      <w:r>
        <w:rPr>
          <w:sz w:val="20"/>
        </w:rPr>
        <w:t>2</w:t>
      </w:r>
      <w:r>
        <w:rPr>
          <w:sz w:val="20"/>
        </w:rPr>
        <w:t>）曾被开除公职或辞退的；</w:t>
      </w:r>
    </w:p>
    <w:p>
      <w:pPr>
        <w:pStyle w:val="null3"/>
        <w:ind w:firstLine="400"/>
      </w:pPr>
      <w:r>
        <w:rPr>
          <w:sz w:val="20"/>
        </w:rPr>
        <w:t>（</w:t>
      </w:r>
      <w:r>
        <w:rPr>
          <w:sz w:val="20"/>
        </w:rPr>
        <w:t>3</w:t>
      </w:r>
      <w:r>
        <w:rPr>
          <w:sz w:val="20"/>
        </w:rPr>
        <w:t>）涉嫌违法违纪正在接受审查的。</w:t>
      </w:r>
    </w:p>
    <w:p>
      <w:pPr>
        <w:pStyle w:val="null3"/>
      </w:pPr>
      <w:r>
        <w:rPr>
          <w:sz w:val="20"/>
        </w:rPr>
        <w:t>三、工作明细</w:t>
      </w:r>
    </w:p>
    <w:p>
      <w:pPr>
        <w:pStyle w:val="null3"/>
      </w:pPr>
      <w:r>
        <w:rPr>
          <w:sz w:val="20"/>
        </w:rPr>
        <w:t>（一）电子卷宗随案同步生成服务</w:t>
      </w:r>
    </w:p>
    <w:p>
      <w:pPr>
        <w:pStyle w:val="null3"/>
        <w:ind w:firstLine="400"/>
      </w:pPr>
      <w:r>
        <w:rPr>
          <w:sz w:val="20"/>
        </w:rPr>
        <w:t>对甲方所有卷宗从立案至归档上架的生命周期进行跟踪，最终形成可供查阅的电子档案和纸质档案。人员配置：扫描</w:t>
      </w:r>
      <w:r>
        <w:rPr>
          <w:sz w:val="20"/>
        </w:rPr>
        <w:t xml:space="preserve">2 </w:t>
      </w:r>
      <w:r>
        <w:rPr>
          <w:sz w:val="20"/>
        </w:rPr>
        <w:t>人、编目</w:t>
      </w:r>
      <w:r>
        <w:rPr>
          <w:sz w:val="20"/>
        </w:rPr>
        <w:t xml:space="preserve">2 </w:t>
      </w:r>
      <w:r>
        <w:rPr>
          <w:sz w:val="20"/>
        </w:rPr>
        <w:t>人、中间库管理</w:t>
      </w:r>
      <w:r>
        <w:rPr>
          <w:sz w:val="20"/>
        </w:rPr>
        <w:t xml:space="preserve">1 </w:t>
      </w:r>
      <w:r>
        <w:rPr>
          <w:sz w:val="20"/>
        </w:rPr>
        <w:t>人、整理转档</w:t>
      </w:r>
      <w:r>
        <w:rPr>
          <w:sz w:val="20"/>
        </w:rPr>
        <w:t>8</w:t>
      </w:r>
      <w:r>
        <w:rPr>
          <w:sz w:val="20"/>
        </w:rPr>
        <w:t>人。人员配置可根据实际情况调动。</w:t>
      </w:r>
    </w:p>
    <w:p>
      <w:pPr>
        <w:pStyle w:val="null3"/>
        <w:ind w:firstLine="400"/>
      </w:pPr>
      <w:r>
        <w:rPr>
          <w:sz w:val="20"/>
        </w:rPr>
        <w:t>1.</w:t>
      </w:r>
      <w:r>
        <w:rPr>
          <w:sz w:val="20"/>
        </w:rPr>
        <w:t>材料收转服务</w:t>
      </w:r>
    </w:p>
    <w:p>
      <w:pPr>
        <w:pStyle w:val="null3"/>
        <w:ind w:firstLine="400"/>
      </w:pPr>
      <w:r>
        <w:rPr>
          <w:sz w:val="20"/>
        </w:rPr>
        <w:t>（</w:t>
      </w:r>
      <w:r>
        <w:rPr>
          <w:sz w:val="20"/>
        </w:rPr>
        <w:t>1</w:t>
      </w:r>
      <w:r>
        <w:rPr>
          <w:sz w:val="20"/>
        </w:rPr>
        <w:t>）乙方应提供立案阶段先立案后扫描或先扫后立纸质卷宗整体流转运行机制。</w:t>
      </w:r>
    </w:p>
    <w:p>
      <w:pPr>
        <w:pStyle w:val="null3"/>
        <w:ind w:firstLine="400"/>
      </w:pPr>
      <w:r>
        <w:rPr>
          <w:sz w:val="20"/>
        </w:rPr>
        <w:t>（</w:t>
      </w:r>
      <w:r>
        <w:rPr>
          <w:sz w:val="20"/>
        </w:rPr>
        <w:t>2</w:t>
      </w:r>
      <w:r>
        <w:rPr>
          <w:sz w:val="20"/>
        </w:rPr>
        <w:t>）乙方应提供材料收转环节针对现场立案，邮寄立案和巡回收集的工作方法。</w:t>
      </w:r>
    </w:p>
    <w:p>
      <w:pPr>
        <w:pStyle w:val="null3"/>
        <w:ind w:firstLine="400"/>
      </w:pPr>
      <w:r>
        <w:rPr>
          <w:sz w:val="20"/>
        </w:rPr>
        <w:t>（</w:t>
      </w:r>
      <w:r>
        <w:rPr>
          <w:sz w:val="20"/>
        </w:rPr>
        <w:t>3</w:t>
      </w:r>
      <w:r>
        <w:rPr>
          <w:sz w:val="20"/>
        </w:rPr>
        <w:t>）乙方应提供材料收转环节材料登记服务与材料质检服务。</w:t>
      </w:r>
    </w:p>
    <w:p>
      <w:pPr>
        <w:pStyle w:val="null3"/>
        <w:ind w:firstLine="400"/>
      </w:pPr>
      <w:r>
        <w:rPr>
          <w:sz w:val="20"/>
        </w:rPr>
        <w:t>2.</w:t>
      </w:r>
      <w:r>
        <w:rPr>
          <w:sz w:val="20"/>
        </w:rPr>
        <w:t>立案材料电子化服务</w:t>
      </w:r>
    </w:p>
    <w:p>
      <w:pPr>
        <w:pStyle w:val="null3"/>
        <w:ind w:firstLine="400"/>
      </w:pPr>
      <w:r>
        <w:rPr>
          <w:sz w:val="20"/>
        </w:rPr>
        <w:t>（</w:t>
      </w:r>
      <w:r>
        <w:rPr>
          <w:sz w:val="20"/>
        </w:rPr>
        <w:t>1</w:t>
      </w:r>
      <w:r>
        <w:rPr>
          <w:sz w:val="20"/>
        </w:rPr>
        <w:t>）乙方应按照法官阅卷习惯、档案级要求进行电子化服务。</w:t>
      </w:r>
    </w:p>
    <w:p>
      <w:pPr>
        <w:pStyle w:val="null3"/>
        <w:ind w:firstLine="400"/>
      </w:pPr>
      <w:r>
        <w:rPr>
          <w:sz w:val="20"/>
        </w:rPr>
        <w:t>（</w:t>
      </w:r>
      <w:r>
        <w:rPr>
          <w:sz w:val="20"/>
        </w:rPr>
        <w:t>2</w:t>
      </w:r>
      <w:r>
        <w:rPr>
          <w:sz w:val="20"/>
        </w:rPr>
        <w:t>）乙方应在完成材料收转</w:t>
      </w:r>
      <w:r>
        <w:rPr>
          <w:sz w:val="20"/>
        </w:rPr>
        <w:t xml:space="preserve">1 </w:t>
      </w:r>
      <w:r>
        <w:rPr>
          <w:sz w:val="20"/>
        </w:rPr>
        <w:t>日内完成纸质卷宗电子化工作，当日完成扫描的起诉立案材料当日移送中间库。</w:t>
      </w:r>
    </w:p>
    <w:p>
      <w:pPr>
        <w:pStyle w:val="null3"/>
        <w:ind w:firstLine="400"/>
      </w:pPr>
      <w:r>
        <w:rPr>
          <w:sz w:val="20"/>
        </w:rPr>
        <w:t>（</w:t>
      </w:r>
      <w:r>
        <w:rPr>
          <w:sz w:val="20"/>
        </w:rPr>
        <w:t>3</w:t>
      </w:r>
      <w:r>
        <w:rPr>
          <w:sz w:val="20"/>
        </w:rPr>
        <w:t>）乙方应制定完整、高效的起诉立案材料电子化标准作业流程和分类方案，提高立案效率及提升无纸化阅卷成效。</w:t>
      </w:r>
    </w:p>
    <w:p>
      <w:pPr>
        <w:pStyle w:val="null3"/>
        <w:ind w:firstLine="400"/>
      </w:pPr>
      <w:r>
        <w:rPr>
          <w:sz w:val="20"/>
        </w:rPr>
        <w:t>3.</w:t>
      </w:r>
      <w:r>
        <w:rPr>
          <w:sz w:val="20"/>
        </w:rPr>
        <w:t>补充材料电子化服务</w:t>
      </w:r>
    </w:p>
    <w:p>
      <w:pPr>
        <w:pStyle w:val="null3"/>
        <w:ind w:firstLine="400"/>
      </w:pPr>
      <w:r>
        <w:rPr>
          <w:sz w:val="20"/>
        </w:rPr>
        <w:t>（</w:t>
      </w:r>
      <w:r>
        <w:rPr>
          <w:sz w:val="20"/>
        </w:rPr>
        <w:t>1</w:t>
      </w:r>
      <w:r>
        <w:rPr>
          <w:sz w:val="20"/>
        </w:rPr>
        <w:t>）乙方应在收到补充材料后</w:t>
      </w:r>
      <w:r>
        <w:rPr>
          <w:sz w:val="20"/>
        </w:rPr>
        <w:t xml:space="preserve">1 </w:t>
      </w:r>
      <w:r>
        <w:rPr>
          <w:sz w:val="20"/>
        </w:rPr>
        <w:t>日内完成电子化工作，电子化后的材料移送中间库。</w:t>
      </w:r>
    </w:p>
    <w:p>
      <w:pPr>
        <w:pStyle w:val="null3"/>
        <w:ind w:firstLine="400"/>
      </w:pPr>
      <w:r>
        <w:rPr>
          <w:sz w:val="20"/>
        </w:rPr>
        <w:t>（</w:t>
      </w:r>
      <w:r>
        <w:rPr>
          <w:sz w:val="20"/>
        </w:rPr>
        <w:t>2</w:t>
      </w:r>
      <w:r>
        <w:rPr>
          <w:sz w:val="20"/>
        </w:rPr>
        <w:t>）乙方应相应制定完整、高效的补充材料电子化标准作业流程和分类方案，提高随案扫描成效和提升无纸化阅卷成效。</w:t>
      </w:r>
    </w:p>
    <w:p>
      <w:pPr>
        <w:pStyle w:val="null3"/>
        <w:ind w:firstLine="400"/>
      </w:pPr>
      <w:r>
        <w:rPr>
          <w:sz w:val="20"/>
        </w:rPr>
        <w:t>4.</w:t>
      </w:r>
      <w:r>
        <w:rPr>
          <w:sz w:val="20"/>
        </w:rPr>
        <w:t>集中编目服务</w:t>
      </w:r>
    </w:p>
    <w:p>
      <w:pPr>
        <w:pStyle w:val="null3"/>
        <w:ind w:firstLine="400"/>
      </w:pPr>
      <w:r>
        <w:rPr>
          <w:sz w:val="20"/>
        </w:rPr>
        <w:t>乙方应提供全面的线上、线下材料编目服务方案，并根据无纸化办案需求，通过要素式提取，利用感知技术、认知技术等为甲方提供后台材料名称与阅卷以及归档目录匹配的关键词基础数据维护，通过精细化编目以提高材料入卷归目的准确性、办案人员查阅电子卷宗的便利性和电子卷宗归档的准确性。方案内容应包括：</w:t>
      </w:r>
    </w:p>
    <w:p>
      <w:pPr>
        <w:pStyle w:val="null3"/>
        <w:ind w:firstLine="400"/>
      </w:pPr>
      <w:r>
        <w:rPr>
          <w:sz w:val="20"/>
        </w:rPr>
        <w:t>（</w:t>
      </w:r>
      <w:r>
        <w:rPr>
          <w:sz w:val="20"/>
        </w:rPr>
        <w:t>1</w:t>
      </w:r>
      <w:r>
        <w:rPr>
          <w:sz w:val="20"/>
        </w:rPr>
        <w:t>）编目规范方案</w:t>
      </w:r>
    </w:p>
    <w:p>
      <w:pPr>
        <w:pStyle w:val="null3"/>
        <w:ind w:firstLine="400"/>
      </w:pPr>
      <w:r>
        <w:rPr>
          <w:sz w:val="20"/>
        </w:rPr>
        <w:t>乙方根据相关规定制定精细化编目规范，包括名称标注原则、分类、规范，以及材料分别归目（阅卷目录和档案卷目录）的规范。</w:t>
      </w:r>
    </w:p>
    <w:p>
      <w:pPr>
        <w:pStyle w:val="null3"/>
        <w:ind w:firstLine="400"/>
      </w:pPr>
      <w:r>
        <w:rPr>
          <w:sz w:val="20"/>
        </w:rPr>
        <w:t>（</w:t>
      </w:r>
      <w:r>
        <w:rPr>
          <w:sz w:val="20"/>
        </w:rPr>
        <w:t>2</w:t>
      </w:r>
      <w:r>
        <w:rPr>
          <w:sz w:val="20"/>
        </w:rPr>
        <w:t>）精细化编目服务</w:t>
      </w:r>
    </w:p>
    <w:p>
      <w:pPr>
        <w:pStyle w:val="null3"/>
        <w:ind w:firstLine="400"/>
      </w:pPr>
      <w:r>
        <w:rPr>
          <w:sz w:val="20"/>
        </w:rPr>
        <w:t>提供二次精细化编目服务。在维护材料名称、阅卷目录等基本属性的前提下，通过软件能力加人工提取并用技术方式进行要素信息抽取，根据抽取结果拼接重组材料编目名称，使材料命名更精细、归目更准确，以提升办案人员阅卷体验以及归档效率。</w:t>
      </w:r>
    </w:p>
    <w:p>
      <w:pPr>
        <w:pStyle w:val="null3"/>
        <w:ind w:firstLine="400"/>
      </w:pPr>
      <w:r>
        <w:rPr>
          <w:sz w:val="20"/>
        </w:rPr>
        <w:t>（</w:t>
      </w:r>
      <w:r>
        <w:rPr>
          <w:sz w:val="20"/>
        </w:rPr>
        <w:t>3</w:t>
      </w:r>
      <w:r>
        <w:rPr>
          <w:sz w:val="20"/>
        </w:rPr>
        <w:t>）编目质检服务</w:t>
      </w:r>
    </w:p>
    <w:p>
      <w:pPr>
        <w:pStyle w:val="null3"/>
        <w:ind w:firstLine="400"/>
      </w:pPr>
      <w:r>
        <w:rPr>
          <w:sz w:val="20"/>
        </w:rPr>
        <w:t>对电子卷宗原始数据进行标注编目服务，并和电子卷宗原始数据的目录信息进行对比，保证电子卷宗原始数据和标注编目的名称一致，若有差异，进行人工手动修改，并针对材料电子化环节、法官阅卷环节、一键归档环节提供优化及调整服务。在材料移送编目电子化工作完成的同日完成名称标注及质检工作。编目质检服务主要包括外部质检（包括但不限于材料电子化环节、法院阅卷环节、一键归档环节等）和内部质检（包括名称标注质检、阅卷目录质检、档案卷目录质检等）两部分。</w:t>
      </w:r>
    </w:p>
    <w:p>
      <w:pPr>
        <w:pStyle w:val="null3"/>
        <w:ind w:firstLine="400"/>
      </w:pPr>
      <w:r>
        <w:rPr>
          <w:sz w:val="20"/>
        </w:rPr>
        <w:t>（</w:t>
      </w:r>
      <w:r>
        <w:rPr>
          <w:sz w:val="20"/>
        </w:rPr>
        <w:t>4</w:t>
      </w:r>
      <w:r>
        <w:rPr>
          <w:sz w:val="20"/>
        </w:rPr>
        <w:t>）编目时效性方案</w:t>
      </w:r>
    </w:p>
    <w:p>
      <w:pPr>
        <w:pStyle w:val="null3"/>
        <w:ind w:firstLine="400"/>
      </w:pPr>
      <w:r>
        <w:rPr>
          <w:sz w:val="20"/>
        </w:rPr>
        <w:t>乙方应提供优化编目任务分派算法和编目服务管理方案，以提升智能分派编目任务效率。</w:t>
      </w:r>
    </w:p>
    <w:p>
      <w:pPr>
        <w:pStyle w:val="null3"/>
        <w:ind w:firstLine="400"/>
      </w:pPr>
      <w:r>
        <w:rPr>
          <w:sz w:val="20"/>
        </w:rPr>
        <w:t>（</w:t>
      </w:r>
      <w:r>
        <w:rPr>
          <w:sz w:val="20"/>
        </w:rPr>
        <w:t>5</w:t>
      </w:r>
      <w:r>
        <w:rPr>
          <w:sz w:val="20"/>
        </w:rPr>
        <w:t>）归目服务方案</w:t>
      </w:r>
    </w:p>
    <w:p>
      <w:pPr>
        <w:pStyle w:val="null3"/>
        <w:ind w:firstLine="400"/>
      </w:pPr>
      <w:r>
        <w:rPr>
          <w:sz w:val="20"/>
        </w:rPr>
        <w:t>集中编目服务应提供归目服务方案，确保线上、线下材料归目准确率。</w:t>
      </w:r>
    </w:p>
    <w:p>
      <w:pPr>
        <w:pStyle w:val="null3"/>
        <w:ind w:firstLine="400"/>
      </w:pPr>
      <w:r>
        <w:rPr>
          <w:sz w:val="20"/>
        </w:rPr>
        <w:t>（</w:t>
      </w:r>
      <w:r>
        <w:rPr>
          <w:sz w:val="20"/>
        </w:rPr>
        <w:t>6</w:t>
      </w:r>
      <w:r>
        <w:rPr>
          <w:sz w:val="20"/>
        </w:rPr>
        <w:t>）编目服务岗位职责</w:t>
      </w:r>
    </w:p>
    <w:p>
      <w:pPr>
        <w:pStyle w:val="null3"/>
        <w:ind w:firstLine="400"/>
      </w:pPr>
      <w:r>
        <w:rPr>
          <w:sz w:val="20"/>
        </w:rPr>
        <w:t>乙方应在甲方提供的工作场所设立集中编目中心，按照集中编目工作流程建立配套的工作岗位。</w:t>
      </w:r>
    </w:p>
    <w:p>
      <w:pPr>
        <w:pStyle w:val="null3"/>
        <w:ind w:firstLine="400"/>
      </w:pPr>
      <w:r>
        <w:rPr>
          <w:sz w:val="20"/>
        </w:rPr>
        <w:t>5.</w:t>
      </w:r>
      <w:r>
        <w:rPr>
          <w:sz w:val="20"/>
        </w:rPr>
        <w:t>卷宗管理服务</w:t>
      </w:r>
    </w:p>
    <w:p>
      <w:pPr>
        <w:pStyle w:val="null3"/>
        <w:ind w:firstLine="400"/>
      </w:pPr>
      <w:r>
        <w:rPr>
          <w:sz w:val="20"/>
        </w:rPr>
        <w:t>（</w:t>
      </w:r>
      <w:r>
        <w:rPr>
          <w:sz w:val="20"/>
        </w:rPr>
        <w:t>1</w:t>
      </w:r>
      <w:r>
        <w:rPr>
          <w:sz w:val="20"/>
        </w:rPr>
        <w:t>）材料流转机制</w:t>
      </w:r>
    </w:p>
    <w:p>
      <w:pPr>
        <w:pStyle w:val="null3"/>
        <w:ind w:firstLine="400"/>
      </w:pPr>
      <w:r>
        <w:rPr>
          <w:sz w:val="20"/>
        </w:rPr>
        <w:t>乙方应提供详尽的材料流转机制，包括但不限于卷宗借阅归还流程等。立案贴粘</w:t>
      </w:r>
      <w:r>
        <w:rPr>
          <w:sz w:val="20"/>
        </w:rPr>
        <w:t xml:space="preserve">RFID </w:t>
      </w:r>
      <w:r>
        <w:rPr>
          <w:sz w:val="20"/>
        </w:rPr>
        <w:t>电子标签，协助卷宗流转过程中管理。</w:t>
      </w:r>
    </w:p>
    <w:p>
      <w:pPr>
        <w:pStyle w:val="null3"/>
        <w:ind w:firstLine="400"/>
      </w:pPr>
      <w:r>
        <w:rPr>
          <w:sz w:val="20"/>
        </w:rPr>
        <w:t>（</w:t>
      </w:r>
      <w:r>
        <w:rPr>
          <w:sz w:val="20"/>
        </w:rPr>
        <w:t>2</w:t>
      </w:r>
      <w:r>
        <w:rPr>
          <w:sz w:val="20"/>
        </w:rPr>
        <w:t>）中间柜管理</w:t>
      </w:r>
    </w:p>
    <w:p>
      <w:pPr>
        <w:pStyle w:val="null3"/>
        <w:ind w:firstLine="400"/>
      </w:pPr>
      <w:r>
        <w:rPr>
          <w:sz w:val="20"/>
        </w:rPr>
        <w:t>乙方应提供中间柜（用于存放立案材料和补充材料等）管理方案。</w:t>
      </w:r>
    </w:p>
    <w:p>
      <w:pPr>
        <w:pStyle w:val="null3"/>
        <w:ind w:firstLine="400"/>
      </w:pPr>
      <w:r>
        <w:rPr>
          <w:sz w:val="20"/>
        </w:rPr>
        <w:t>（</w:t>
      </w:r>
      <w:r>
        <w:rPr>
          <w:sz w:val="20"/>
        </w:rPr>
        <w:t>3</w:t>
      </w:r>
      <w:r>
        <w:rPr>
          <w:sz w:val="20"/>
        </w:rPr>
        <w:t>）卷宗管理系统设计</w:t>
      </w:r>
    </w:p>
    <w:p>
      <w:pPr>
        <w:pStyle w:val="null3"/>
        <w:ind w:firstLine="400"/>
      </w:pPr>
      <w:r>
        <w:rPr>
          <w:sz w:val="20"/>
        </w:rPr>
        <w:t>乙方应提供卷宗管理软件设计方案。</w:t>
      </w:r>
    </w:p>
    <w:p>
      <w:pPr>
        <w:pStyle w:val="null3"/>
        <w:ind w:firstLine="400"/>
      </w:pPr>
      <w:r>
        <w:rPr>
          <w:sz w:val="20"/>
        </w:rPr>
        <w:t>6.</w:t>
      </w:r>
      <w:r>
        <w:rPr>
          <w:sz w:val="20"/>
        </w:rPr>
        <w:t>归档服务</w:t>
      </w:r>
    </w:p>
    <w:p>
      <w:pPr>
        <w:pStyle w:val="null3"/>
        <w:ind w:firstLine="400"/>
      </w:pPr>
      <w:r>
        <w:rPr>
          <w:sz w:val="20"/>
        </w:rPr>
        <w:t>（</w:t>
      </w:r>
      <w:r>
        <w:rPr>
          <w:sz w:val="20"/>
        </w:rPr>
        <w:t>1</w:t>
      </w:r>
      <w:r>
        <w:rPr>
          <w:sz w:val="20"/>
        </w:rPr>
        <w:t>）一键归档要求</w:t>
      </w:r>
    </w:p>
    <w:p>
      <w:pPr>
        <w:pStyle w:val="null3"/>
        <w:ind w:firstLine="400"/>
      </w:pPr>
      <w:r>
        <w:rPr>
          <w:sz w:val="20"/>
        </w:rPr>
        <w:t>乙方应提供适合甲方的一键归档服务方案。案件结案后，审判辅助人员即可通过供应商提供的相关配套事项管理系统（留痕管理）发起归档整理工作。乙方对提交归档整理的案件，应根据法院的归档要求，在规定的工作日内完成电子档案整理、纸质档案整理、集中打印（含各类法律文书）、页码制作、归档质检、电子推送，纸质档案移送、上架等全部归档工作。</w:t>
      </w:r>
    </w:p>
    <w:p>
      <w:pPr>
        <w:pStyle w:val="null3"/>
        <w:ind w:firstLine="400"/>
      </w:pPr>
      <w:r>
        <w:rPr>
          <w:sz w:val="20"/>
        </w:rPr>
        <w:t>（</w:t>
      </w:r>
      <w:r>
        <w:rPr>
          <w:sz w:val="20"/>
        </w:rPr>
        <w:t>2</w:t>
      </w:r>
      <w:r>
        <w:rPr>
          <w:sz w:val="20"/>
        </w:rPr>
        <w:t>）一键转档审核</w:t>
      </w:r>
    </w:p>
    <w:p>
      <w:pPr>
        <w:pStyle w:val="null3"/>
        <w:ind w:firstLine="400"/>
      </w:pPr>
      <w:r>
        <w:rPr>
          <w:sz w:val="20"/>
        </w:rPr>
        <w:t>办案人员在线提交无纸化归档后，乙方的归档岗服务人员应做好电子转档工作，转档完成后将转档结果回传给归档流程提交者进行审核。</w:t>
      </w:r>
    </w:p>
    <w:p>
      <w:pPr>
        <w:pStyle w:val="null3"/>
        <w:ind w:firstLine="400"/>
      </w:pPr>
      <w:r>
        <w:rPr>
          <w:sz w:val="20"/>
        </w:rPr>
        <w:t>（</w:t>
      </w:r>
      <w:r>
        <w:rPr>
          <w:sz w:val="20"/>
        </w:rPr>
        <w:t>3</w:t>
      </w:r>
      <w:r>
        <w:rPr>
          <w:sz w:val="20"/>
        </w:rPr>
        <w:t>）预归目服务</w:t>
      </w:r>
    </w:p>
    <w:p>
      <w:pPr>
        <w:pStyle w:val="null3"/>
        <w:ind w:firstLine="400"/>
      </w:pPr>
      <w:r>
        <w:rPr>
          <w:sz w:val="20"/>
        </w:rPr>
        <w:t>为解决转档工作量较大的问题，通过预归目系统将归目和转档工作前置到案件办理过程中，以保障归档目录挂接准确性，提升办案人员阅卷体验以及一键转档效率。</w:t>
      </w:r>
    </w:p>
    <w:p>
      <w:pPr>
        <w:pStyle w:val="null3"/>
        <w:ind w:firstLine="400"/>
      </w:pPr>
      <w:r>
        <w:rPr>
          <w:sz w:val="20"/>
        </w:rPr>
        <w:t>（</w:t>
      </w:r>
      <w:r>
        <w:rPr>
          <w:sz w:val="20"/>
        </w:rPr>
        <w:t>4</w:t>
      </w:r>
      <w:r>
        <w:rPr>
          <w:sz w:val="20"/>
        </w:rPr>
        <w:t>）电子档案要求</w:t>
      </w:r>
    </w:p>
    <w:p>
      <w:pPr>
        <w:pStyle w:val="null3"/>
        <w:ind w:firstLine="400"/>
      </w:pPr>
      <w:r>
        <w:rPr>
          <w:sz w:val="20"/>
        </w:rPr>
        <w:t>为确保电子卷宗转换效率和成功率，乙方应提供一套提高一键转档效率优化方案。</w:t>
      </w:r>
    </w:p>
    <w:p>
      <w:pPr>
        <w:pStyle w:val="null3"/>
        <w:ind w:firstLine="400"/>
      </w:pPr>
      <w:r>
        <w:rPr>
          <w:sz w:val="20"/>
        </w:rPr>
        <w:t>7.</w:t>
      </w:r>
      <w:r>
        <w:rPr>
          <w:sz w:val="20"/>
        </w:rPr>
        <w:t>无纸化办案基础性配套服务</w:t>
      </w:r>
    </w:p>
    <w:p>
      <w:pPr>
        <w:pStyle w:val="null3"/>
        <w:ind w:firstLine="400"/>
      </w:pPr>
      <w:r>
        <w:rPr>
          <w:sz w:val="20"/>
        </w:rPr>
        <w:t>（</w:t>
      </w:r>
      <w:r>
        <w:rPr>
          <w:sz w:val="20"/>
        </w:rPr>
        <w:t>1</w:t>
      </w:r>
      <w:r>
        <w:rPr>
          <w:sz w:val="20"/>
        </w:rPr>
        <w:t>）智能柜管理系统与电子卷宗系统对接融合</w:t>
      </w:r>
    </w:p>
    <w:p>
      <w:pPr>
        <w:pStyle w:val="null3"/>
        <w:ind w:firstLine="400"/>
      </w:pPr>
      <w:r>
        <w:rPr>
          <w:sz w:val="20"/>
        </w:rPr>
        <w:t>乙方的材料管理系统应与智能中间柜系统进行对接。应保障智能中间柜系统能够识别纸质卷宗材料经电子卷宗系统生成的二维码，能进行存取流转工作，且电子卷宗系统能够展示案件纸质卷宗材料基本信息和状态属性。相关对接和开发费用已包含在合同价款中，甲方不另行支付费用。</w:t>
      </w:r>
    </w:p>
    <w:p>
      <w:pPr>
        <w:pStyle w:val="null3"/>
        <w:ind w:firstLine="400"/>
      </w:pPr>
      <w:r>
        <w:rPr>
          <w:sz w:val="20"/>
        </w:rPr>
        <w:t>（</w:t>
      </w:r>
      <w:r>
        <w:rPr>
          <w:sz w:val="20"/>
        </w:rPr>
        <w:t>2</w:t>
      </w:r>
      <w:r>
        <w:rPr>
          <w:sz w:val="20"/>
        </w:rPr>
        <w:t>）提供司法辅助事务数据可视化展示平台服务</w:t>
      </w:r>
    </w:p>
    <w:p>
      <w:pPr>
        <w:pStyle w:val="null3"/>
        <w:ind w:firstLine="400"/>
      </w:pPr>
      <w:r>
        <w:rPr>
          <w:sz w:val="20"/>
        </w:rPr>
        <w:t>乙方应提供包含电子卷宗随案同步生成各环节数据的数据展示服务，展示内容包括但不限于收案数、中间库存案数、结案数、归档数、扫描页数、编目页数的当日及历史统计数据。</w:t>
      </w:r>
    </w:p>
    <w:p>
      <w:pPr>
        <w:pStyle w:val="null3"/>
      </w:pPr>
      <w:r>
        <w:rPr>
          <w:sz w:val="20"/>
        </w:rPr>
        <w:t>（二）档案图文数字化服务</w:t>
      </w:r>
    </w:p>
    <w:p>
      <w:pPr>
        <w:pStyle w:val="null3"/>
        <w:ind w:firstLine="400"/>
      </w:pPr>
      <w:r>
        <w:rPr>
          <w:sz w:val="20"/>
        </w:rPr>
        <w:t>人员配置：接收</w:t>
      </w:r>
      <w:r>
        <w:rPr>
          <w:sz w:val="20"/>
        </w:rPr>
        <w:t xml:space="preserve">1 </w:t>
      </w:r>
      <w:r>
        <w:rPr>
          <w:sz w:val="20"/>
        </w:rPr>
        <w:t>人、整理</w:t>
      </w:r>
      <w:r>
        <w:rPr>
          <w:sz w:val="20"/>
        </w:rPr>
        <w:t xml:space="preserve">2 </w:t>
      </w:r>
      <w:r>
        <w:rPr>
          <w:sz w:val="20"/>
        </w:rPr>
        <w:t>人、扫描</w:t>
      </w:r>
      <w:r>
        <w:rPr>
          <w:sz w:val="20"/>
        </w:rPr>
        <w:t xml:space="preserve">1 </w:t>
      </w:r>
      <w:r>
        <w:rPr>
          <w:sz w:val="20"/>
        </w:rPr>
        <w:t>人、图像处理</w:t>
      </w:r>
      <w:r>
        <w:rPr>
          <w:sz w:val="20"/>
        </w:rPr>
        <w:t xml:space="preserve">1 </w:t>
      </w:r>
      <w:r>
        <w:rPr>
          <w:sz w:val="20"/>
        </w:rPr>
        <w:t>人、著录、挂接、上传</w:t>
      </w:r>
      <w:r>
        <w:rPr>
          <w:sz w:val="20"/>
        </w:rPr>
        <w:t xml:space="preserve">1 </w:t>
      </w:r>
      <w:r>
        <w:rPr>
          <w:sz w:val="20"/>
        </w:rPr>
        <w:t>人、质检</w:t>
      </w:r>
      <w:r>
        <w:rPr>
          <w:sz w:val="20"/>
        </w:rPr>
        <w:t xml:space="preserve">1 </w:t>
      </w:r>
      <w:r>
        <w:rPr>
          <w:sz w:val="20"/>
        </w:rPr>
        <w:t>人。人员配置可根据实际情况调动。</w:t>
      </w:r>
    </w:p>
    <w:p>
      <w:pPr>
        <w:pStyle w:val="null3"/>
        <w:ind w:firstLine="400"/>
      </w:pPr>
      <w:r>
        <w:rPr>
          <w:sz w:val="20"/>
        </w:rPr>
        <w:t>1.</w:t>
      </w:r>
      <w:r>
        <w:rPr>
          <w:sz w:val="20"/>
        </w:rPr>
        <w:t>档案接收领取</w:t>
      </w:r>
    </w:p>
    <w:p>
      <w:pPr>
        <w:pStyle w:val="null3"/>
        <w:ind w:firstLine="400"/>
      </w:pPr>
      <w:r>
        <w:rPr>
          <w:sz w:val="20"/>
        </w:rPr>
        <w:t>（</w:t>
      </w:r>
      <w:r>
        <w:rPr>
          <w:sz w:val="20"/>
        </w:rPr>
        <w:t>1</w:t>
      </w:r>
      <w:r>
        <w:rPr>
          <w:sz w:val="20"/>
        </w:rPr>
        <w:t>）乙方需遵循甲方档案管理部门的相关规定流程接收档案，确保档案管理部门能合理安排接收工作。</w:t>
      </w:r>
    </w:p>
    <w:p>
      <w:pPr>
        <w:pStyle w:val="null3"/>
        <w:ind w:firstLine="400"/>
      </w:pPr>
      <w:r>
        <w:rPr>
          <w:sz w:val="20"/>
        </w:rPr>
        <w:t>（</w:t>
      </w:r>
      <w:r>
        <w:rPr>
          <w:sz w:val="20"/>
        </w:rPr>
        <w:t>2</w:t>
      </w:r>
      <w:r>
        <w:rPr>
          <w:sz w:val="20"/>
        </w:rPr>
        <w:t>）档案接收领取时由乙方、甲方双方工作人员当面对档案数量进行逐份清点，并在《档案交接清单》上签字确认。按时按质按量完成业务档案扫描加工工作，自档案接收到档案处理完毕，须保证档案的安全和完整性。</w:t>
      </w:r>
    </w:p>
    <w:p>
      <w:pPr>
        <w:pStyle w:val="null3"/>
        <w:ind w:firstLine="400"/>
      </w:pPr>
      <w:r>
        <w:rPr>
          <w:sz w:val="20"/>
        </w:rPr>
        <w:t>2.</w:t>
      </w:r>
      <w:r>
        <w:rPr>
          <w:sz w:val="20"/>
        </w:rPr>
        <w:t>档案整理</w:t>
      </w:r>
    </w:p>
    <w:p>
      <w:pPr>
        <w:pStyle w:val="null3"/>
        <w:ind w:firstLine="400"/>
      </w:pPr>
      <w:r>
        <w:rPr>
          <w:sz w:val="20"/>
        </w:rPr>
        <w:t>工作人员需对未进行随案流程的档案进行纸质整理。包括以下内容：</w:t>
      </w:r>
    </w:p>
    <w:p>
      <w:pPr>
        <w:pStyle w:val="null3"/>
        <w:ind w:firstLine="400"/>
      </w:pPr>
      <w:r>
        <w:rPr>
          <w:sz w:val="20"/>
        </w:rPr>
        <w:t>（</w:t>
      </w:r>
      <w:r>
        <w:rPr>
          <w:sz w:val="20"/>
        </w:rPr>
        <w:t>1</w:t>
      </w:r>
      <w:r>
        <w:rPr>
          <w:sz w:val="20"/>
        </w:rPr>
        <w:t>）材料检查：档案材料是否齐全完整，材料是否符合规范，非入卷的材料和多余的材料作退回处理。</w:t>
      </w:r>
    </w:p>
    <w:p>
      <w:pPr>
        <w:pStyle w:val="null3"/>
        <w:ind w:firstLine="400"/>
      </w:pPr>
      <w:r>
        <w:rPr>
          <w:sz w:val="20"/>
        </w:rPr>
        <w:t>（</w:t>
      </w:r>
      <w:r>
        <w:rPr>
          <w:sz w:val="20"/>
        </w:rPr>
        <w:t>2</w:t>
      </w:r>
      <w:r>
        <w:rPr>
          <w:sz w:val="20"/>
        </w:rPr>
        <w:t>）档案材料是否手续完备：检查档案材料是否办理完毕的，如单位盖章、签名等。对档案材料不完善的，需逐项标注提示补充。</w:t>
      </w:r>
    </w:p>
    <w:p>
      <w:pPr>
        <w:pStyle w:val="null3"/>
        <w:ind w:firstLine="400"/>
      </w:pPr>
      <w:r>
        <w:rPr>
          <w:sz w:val="20"/>
        </w:rPr>
        <w:t>（</w:t>
      </w:r>
      <w:r>
        <w:rPr>
          <w:sz w:val="20"/>
        </w:rPr>
        <w:t>3</w:t>
      </w:r>
      <w:r>
        <w:rPr>
          <w:sz w:val="20"/>
        </w:rPr>
        <w:t>）按《立卷规范》进行立卷：票据材料规范粘贴，特殊材料按要求复印、包装入档，图纸按规范折叠等。</w:t>
      </w:r>
    </w:p>
    <w:p>
      <w:pPr>
        <w:pStyle w:val="null3"/>
        <w:ind w:firstLine="400"/>
      </w:pPr>
      <w:r>
        <w:rPr>
          <w:sz w:val="20"/>
        </w:rPr>
        <w:t>（</w:t>
      </w:r>
      <w:r>
        <w:rPr>
          <w:sz w:val="20"/>
        </w:rPr>
        <w:t>4</w:t>
      </w:r>
      <w:r>
        <w:rPr>
          <w:sz w:val="20"/>
        </w:rPr>
        <w:t>）材料经系统整理后逐页进行编写页码，从档案正文内容第一页起编写页码每册按次序从</w:t>
      </w:r>
      <w:r>
        <w:rPr>
          <w:sz w:val="20"/>
        </w:rPr>
        <w:t xml:space="preserve">1 </w:t>
      </w:r>
      <w:r>
        <w:rPr>
          <w:sz w:val="20"/>
        </w:rPr>
        <w:t>开始连续编号，避免出现重号、跳号和错号等情况，空白的页面不编页号。</w:t>
      </w:r>
    </w:p>
    <w:p>
      <w:pPr>
        <w:pStyle w:val="null3"/>
        <w:ind w:firstLine="400"/>
      </w:pPr>
      <w:r>
        <w:rPr>
          <w:sz w:val="20"/>
        </w:rPr>
        <w:t>（</w:t>
      </w:r>
      <w:r>
        <w:rPr>
          <w:sz w:val="20"/>
        </w:rPr>
        <w:t>5</w:t>
      </w:r>
      <w:r>
        <w:rPr>
          <w:sz w:val="20"/>
        </w:rPr>
        <w:t>）编写正、副卷目录号码，认真检查案件的正、副卷材料，不得出现正、副卷内容混淆错乱的情况。</w:t>
      </w:r>
    </w:p>
    <w:p>
      <w:pPr>
        <w:pStyle w:val="null3"/>
        <w:ind w:firstLine="400"/>
      </w:pPr>
      <w:r>
        <w:rPr>
          <w:sz w:val="20"/>
        </w:rPr>
        <w:t>（</w:t>
      </w:r>
      <w:r>
        <w:rPr>
          <w:sz w:val="20"/>
        </w:rPr>
        <w:t>6</w:t>
      </w:r>
      <w:r>
        <w:rPr>
          <w:sz w:val="20"/>
        </w:rPr>
        <w:t>）档案的后补材料：对档案进行材料补充，按规范编写页码。</w:t>
      </w:r>
    </w:p>
    <w:p>
      <w:pPr>
        <w:pStyle w:val="null3"/>
        <w:ind w:firstLine="400"/>
      </w:pPr>
      <w:r>
        <w:rPr>
          <w:sz w:val="20"/>
        </w:rPr>
        <w:t>（</w:t>
      </w:r>
      <w:r>
        <w:rPr>
          <w:sz w:val="20"/>
        </w:rPr>
        <w:t>7</w:t>
      </w:r>
      <w:r>
        <w:rPr>
          <w:sz w:val="20"/>
        </w:rPr>
        <w:t>）材料齐全整理完成的卷宗送给法官助理和法官检查，签名后让法官助理提交归档并打印一式两份《归档清单》，送到档案室归档。</w:t>
      </w:r>
    </w:p>
    <w:p>
      <w:pPr>
        <w:pStyle w:val="null3"/>
        <w:ind w:firstLine="400"/>
      </w:pPr>
      <w:r>
        <w:rPr>
          <w:sz w:val="20"/>
        </w:rPr>
        <w:t>（</w:t>
      </w:r>
      <w:r>
        <w:rPr>
          <w:sz w:val="20"/>
        </w:rPr>
        <w:t>8</w:t>
      </w:r>
      <w:r>
        <w:rPr>
          <w:sz w:val="20"/>
        </w:rPr>
        <w:t>）归档签收后的《归档清单》归还对应书记员自行保管。</w:t>
      </w:r>
    </w:p>
    <w:p>
      <w:pPr>
        <w:pStyle w:val="null3"/>
        <w:ind w:firstLine="400"/>
      </w:pPr>
      <w:r>
        <w:rPr>
          <w:sz w:val="20"/>
        </w:rPr>
        <w:t>3.</w:t>
      </w:r>
      <w:r>
        <w:rPr>
          <w:sz w:val="20"/>
        </w:rPr>
        <w:t>档案扫描前整理</w:t>
      </w:r>
    </w:p>
    <w:p>
      <w:pPr>
        <w:pStyle w:val="null3"/>
        <w:ind w:firstLine="400"/>
      </w:pPr>
      <w:r>
        <w:rPr>
          <w:sz w:val="20"/>
        </w:rPr>
        <w:t>扫描前需对实物进行清点。纸质档案拆除装订物时注意保护档案不受损害，档案扫描前整理工作按照《中山市中级人民法院诉讼文书材料立卷归档规范》等管理规范和要求，完成纸质档案的规范化，主要工作内容包括对档案的完整性进行检查，对排列顺序不准确的档案进行重排，对需要粘贴修整的材料进行处理，对于已装订入库的档案，需先拆除装订线，再进行粘贴修正等规范化处理。</w:t>
      </w:r>
    </w:p>
    <w:p>
      <w:pPr>
        <w:pStyle w:val="null3"/>
        <w:ind w:firstLine="400"/>
      </w:pPr>
      <w:r>
        <w:rPr>
          <w:sz w:val="20"/>
        </w:rPr>
        <w:t>（</w:t>
      </w:r>
      <w:r>
        <w:rPr>
          <w:sz w:val="20"/>
        </w:rPr>
        <w:t>1</w:t>
      </w:r>
      <w:r>
        <w:rPr>
          <w:sz w:val="20"/>
        </w:rPr>
        <w:t>）跳页码，有文件材料的，直接补页码；</w:t>
      </w:r>
    </w:p>
    <w:p>
      <w:pPr>
        <w:pStyle w:val="null3"/>
        <w:ind w:firstLine="400"/>
      </w:pPr>
      <w:r>
        <w:rPr>
          <w:sz w:val="20"/>
        </w:rPr>
        <w:t>（</w:t>
      </w:r>
      <w:r>
        <w:rPr>
          <w:sz w:val="20"/>
        </w:rPr>
        <w:t>2</w:t>
      </w:r>
      <w:r>
        <w:rPr>
          <w:sz w:val="20"/>
        </w:rPr>
        <w:t>）漏编页码，漏编页作为前页的附页，以横杠标示；</w:t>
      </w:r>
    </w:p>
    <w:p>
      <w:pPr>
        <w:pStyle w:val="null3"/>
        <w:ind w:firstLine="400"/>
      </w:pPr>
      <w:r>
        <w:rPr>
          <w:sz w:val="20"/>
        </w:rPr>
        <w:t>（</w:t>
      </w:r>
      <w:r>
        <w:rPr>
          <w:sz w:val="20"/>
        </w:rPr>
        <w:t>3</w:t>
      </w:r>
      <w:r>
        <w:rPr>
          <w:sz w:val="20"/>
        </w:rPr>
        <w:t>）最后一条目录未编页码的，直接在目录上补页码；</w:t>
      </w:r>
    </w:p>
    <w:p>
      <w:pPr>
        <w:pStyle w:val="null3"/>
        <w:ind w:firstLine="400"/>
      </w:pPr>
      <w:r>
        <w:rPr>
          <w:sz w:val="20"/>
        </w:rPr>
        <w:t>（</w:t>
      </w:r>
      <w:r>
        <w:rPr>
          <w:sz w:val="20"/>
        </w:rPr>
        <w:t>4</w:t>
      </w:r>
      <w:r>
        <w:rPr>
          <w:sz w:val="20"/>
        </w:rPr>
        <w:t>）应对没有页号或页号不正确的档案重新编制页号；</w:t>
      </w:r>
    </w:p>
    <w:p>
      <w:pPr>
        <w:pStyle w:val="null3"/>
        <w:ind w:firstLine="400"/>
      </w:pPr>
      <w:r>
        <w:rPr>
          <w:sz w:val="20"/>
        </w:rPr>
        <w:t>（</w:t>
      </w:r>
      <w:r>
        <w:rPr>
          <w:sz w:val="20"/>
        </w:rPr>
        <w:t>5</w:t>
      </w:r>
      <w:r>
        <w:rPr>
          <w:sz w:val="20"/>
        </w:rPr>
        <w:t>）前后页码重复编号，将后页改为前页的附页，以横杠标示；</w:t>
      </w:r>
    </w:p>
    <w:p>
      <w:pPr>
        <w:pStyle w:val="null3"/>
        <w:ind w:firstLine="400"/>
      </w:pPr>
      <w:r>
        <w:rPr>
          <w:sz w:val="20"/>
        </w:rPr>
        <w:t>（</w:t>
      </w:r>
      <w:r>
        <w:rPr>
          <w:sz w:val="20"/>
        </w:rPr>
        <w:t>6</w:t>
      </w:r>
      <w:r>
        <w:rPr>
          <w:sz w:val="20"/>
        </w:rPr>
        <w:t>）折叠页编号的，作为本页的附页，以横杠标示；</w:t>
      </w:r>
    </w:p>
    <w:p>
      <w:pPr>
        <w:pStyle w:val="null3"/>
        <w:ind w:firstLine="400"/>
      </w:pPr>
      <w:r>
        <w:rPr>
          <w:sz w:val="20"/>
        </w:rPr>
        <w:t>（</w:t>
      </w:r>
      <w:r>
        <w:rPr>
          <w:sz w:val="20"/>
        </w:rPr>
        <w:t>7</w:t>
      </w:r>
      <w:r>
        <w:rPr>
          <w:sz w:val="20"/>
        </w:rPr>
        <w:t>）重新编制页号时，应在统一位置书写页号，且不压盖档案内容；</w:t>
      </w:r>
    </w:p>
    <w:p>
      <w:pPr>
        <w:pStyle w:val="null3"/>
        <w:ind w:firstLine="400"/>
      </w:pPr>
      <w:r>
        <w:rPr>
          <w:sz w:val="20"/>
        </w:rPr>
        <w:t>（</w:t>
      </w:r>
      <w:r>
        <w:rPr>
          <w:sz w:val="20"/>
        </w:rPr>
        <w:t>8</w:t>
      </w:r>
      <w:r>
        <w:rPr>
          <w:sz w:val="20"/>
        </w:rPr>
        <w:t>）褶皱不平影响扫描质量的纸质档案应先进行压平等相应处理；</w:t>
      </w:r>
    </w:p>
    <w:p>
      <w:pPr>
        <w:pStyle w:val="null3"/>
        <w:ind w:firstLine="400"/>
      </w:pPr>
      <w:r>
        <w:rPr>
          <w:sz w:val="20"/>
        </w:rPr>
        <w:t>（</w:t>
      </w:r>
      <w:r>
        <w:rPr>
          <w:sz w:val="20"/>
        </w:rPr>
        <w:t>9</w:t>
      </w:r>
      <w:r>
        <w:rPr>
          <w:sz w:val="20"/>
        </w:rPr>
        <w:t>）纸张破损的，保持原貌进行扫描，破损严重的，报档案管理部门审定；</w:t>
      </w:r>
    </w:p>
    <w:p>
      <w:pPr>
        <w:pStyle w:val="null3"/>
        <w:ind w:firstLine="400"/>
      </w:pPr>
      <w:r>
        <w:rPr>
          <w:sz w:val="20"/>
        </w:rPr>
        <w:t>（</w:t>
      </w:r>
      <w:r>
        <w:rPr>
          <w:sz w:val="20"/>
        </w:rPr>
        <w:t>10</w:t>
      </w:r>
      <w:r>
        <w:rPr>
          <w:sz w:val="20"/>
        </w:rPr>
        <w:t>）档案整理工作完成后，还应对档案整理工作进行质量检查，整理质量检查的目的是确保档案整理工作符合相关规范要求。不符合要求的档案需记录并退回重整，合格后方可进入下一道工序。</w:t>
      </w:r>
    </w:p>
    <w:p>
      <w:pPr>
        <w:pStyle w:val="null3"/>
        <w:ind w:firstLine="400"/>
      </w:pPr>
      <w:r>
        <w:rPr>
          <w:sz w:val="20"/>
        </w:rPr>
        <w:t>4.</w:t>
      </w:r>
      <w:r>
        <w:rPr>
          <w:sz w:val="20"/>
        </w:rPr>
        <w:t>档案封面打印</w:t>
      </w:r>
    </w:p>
    <w:p>
      <w:pPr>
        <w:pStyle w:val="null3"/>
        <w:ind w:firstLine="400"/>
      </w:pPr>
      <w:r>
        <w:rPr>
          <w:sz w:val="20"/>
        </w:rPr>
        <w:t>档案封面内容应以系统自动生成为主，确保内容的完整性。在打印前，需根据案件正卷内结案文书进行核对和修改，确保案件当事人、案号、案卷号等关键信息准确无误。打印时，应遵循档案管理规范，确保封面格式、字体、信息布局和色彩搭配符合要求，以达到整齐、美观的效果。具体要求如下：</w:t>
      </w:r>
    </w:p>
    <w:p>
      <w:pPr>
        <w:pStyle w:val="null3"/>
        <w:ind w:firstLine="400"/>
      </w:pPr>
      <w:r>
        <w:rPr>
          <w:sz w:val="20"/>
        </w:rPr>
        <w:t>（</w:t>
      </w:r>
      <w:r>
        <w:rPr>
          <w:sz w:val="20"/>
        </w:rPr>
        <w:t>1</w:t>
      </w:r>
      <w:r>
        <w:rPr>
          <w:sz w:val="20"/>
        </w:rPr>
        <w:t>）民事、刑事、执行案件需按照审判过程中形成的最终结案文书为准，根据文书增加、删除、修改人员信息，确保档案封面内容正确无误。</w:t>
      </w:r>
    </w:p>
    <w:p>
      <w:pPr>
        <w:pStyle w:val="null3"/>
        <w:ind w:firstLine="400"/>
      </w:pPr>
      <w:r>
        <w:rPr>
          <w:sz w:val="20"/>
        </w:rPr>
        <w:t>（</w:t>
      </w:r>
      <w:r>
        <w:rPr>
          <w:sz w:val="20"/>
        </w:rPr>
        <w:t>2</w:t>
      </w:r>
      <w:r>
        <w:rPr>
          <w:sz w:val="20"/>
        </w:rPr>
        <w:t>）刑事案件需要在封面增加公安卷册数，根据档案原件的档案袋或归档清单上的备注，在左下角注明与某案号关联。</w:t>
      </w:r>
    </w:p>
    <w:p>
      <w:pPr>
        <w:pStyle w:val="null3"/>
        <w:ind w:firstLine="400"/>
      </w:pPr>
      <w:r>
        <w:rPr>
          <w:sz w:val="20"/>
        </w:rPr>
        <w:t>（</w:t>
      </w:r>
      <w:r>
        <w:rPr>
          <w:sz w:val="20"/>
        </w:rPr>
        <w:t>3</w:t>
      </w:r>
      <w:r>
        <w:rPr>
          <w:sz w:val="20"/>
        </w:rPr>
        <w:t>）根据档案原件填写封面册数，根据目录最后一项填写封面页数。</w:t>
      </w:r>
    </w:p>
    <w:p>
      <w:pPr>
        <w:pStyle w:val="null3"/>
        <w:ind w:firstLine="400"/>
      </w:pPr>
      <w:r>
        <w:rPr>
          <w:sz w:val="20"/>
        </w:rPr>
        <w:t>5.</w:t>
      </w:r>
      <w:r>
        <w:rPr>
          <w:sz w:val="20"/>
        </w:rPr>
        <w:t>档案著录</w:t>
      </w:r>
    </w:p>
    <w:p>
      <w:pPr>
        <w:pStyle w:val="null3"/>
        <w:ind w:firstLine="400"/>
      </w:pPr>
      <w:r>
        <w:rPr>
          <w:sz w:val="20"/>
        </w:rPr>
        <w:t>在档案扫描工作开始前应首先将档案以卷为单位进行著录，著录的主要信息包括：批次号、年份、类别、案号、案由、当事人信息、审判人员、审判结果、归档日期、卷数等相关信息。</w:t>
      </w:r>
    </w:p>
    <w:p>
      <w:pPr>
        <w:pStyle w:val="null3"/>
        <w:ind w:firstLine="400"/>
      </w:pPr>
      <w:r>
        <w:rPr>
          <w:sz w:val="20"/>
        </w:rPr>
        <w:t>6.</w:t>
      </w:r>
      <w:r>
        <w:rPr>
          <w:sz w:val="20"/>
        </w:rPr>
        <w:t>档案扫描</w:t>
      </w:r>
    </w:p>
    <w:p>
      <w:pPr>
        <w:pStyle w:val="null3"/>
        <w:ind w:firstLine="400"/>
      </w:pPr>
      <w:r>
        <w:rPr>
          <w:sz w:val="20"/>
        </w:rPr>
        <w:t>（</w:t>
      </w:r>
      <w:r>
        <w:rPr>
          <w:sz w:val="20"/>
        </w:rPr>
        <w:t>1</w:t>
      </w:r>
      <w:r>
        <w:rPr>
          <w:sz w:val="20"/>
        </w:rPr>
        <w:t>）对于发票或其他各类不同证据材料，需用不同分辨率或者扫描方法进行扫描。</w:t>
      </w:r>
    </w:p>
    <w:p>
      <w:pPr>
        <w:pStyle w:val="null3"/>
        <w:ind w:firstLine="400"/>
      </w:pPr>
      <w:r>
        <w:rPr>
          <w:sz w:val="20"/>
        </w:rPr>
        <w:t>（</w:t>
      </w:r>
      <w:r>
        <w:rPr>
          <w:sz w:val="20"/>
        </w:rPr>
        <w:t>2</w:t>
      </w:r>
      <w:r>
        <w:rPr>
          <w:sz w:val="20"/>
        </w:rPr>
        <w:t>）档案影像扫描：图形格式采用</w:t>
      </w:r>
      <w:r>
        <w:rPr>
          <w:sz w:val="20"/>
        </w:rPr>
        <w:t xml:space="preserve">JPG </w:t>
      </w:r>
      <w:r>
        <w:rPr>
          <w:sz w:val="20"/>
        </w:rPr>
        <w:t>格式，档案页面扫描的分辨率为</w:t>
      </w:r>
      <w:r>
        <w:rPr>
          <w:sz w:val="20"/>
        </w:rPr>
        <w:t>300*300dpi</w:t>
      </w:r>
      <w:r>
        <w:rPr>
          <w:sz w:val="20"/>
        </w:rPr>
        <w:t>，档案原件模糊不清楚的，可适当调高分辨率来扫描，确保图像扫描质量。最大限度保留档案原件信息，便于多种方式的利用。宜全部采用彩色模式进行扫描，要求扫描图像完整、效果清晰、无黑边，页面清晰度与档案原件基本保持一致，扫描时，需确保页面以档案纸张轮廓为准，且倾斜度不超过十度。</w:t>
      </w:r>
    </w:p>
    <w:p>
      <w:pPr>
        <w:pStyle w:val="null3"/>
        <w:ind w:firstLine="400"/>
      </w:pPr>
      <w:r>
        <w:rPr>
          <w:sz w:val="20"/>
        </w:rPr>
        <w:t>（</w:t>
      </w:r>
      <w:r>
        <w:rPr>
          <w:sz w:val="20"/>
        </w:rPr>
        <w:t>3</w:t>
      </w:r>
      <w:r>
        <w:rPr>
          <w:sz w:val="20"/>
        </w:rPr>
        <w:t>）对不符合阅读方向的数字图像应进行旋转还原。对出现偏斜的图像应进行纠偏处理，以达到视觉上基本不感觉偏斜为准；如需对数字图像进行去污处理，以去除在扫描过程中产生的污点、污线、黑边等影响图像质量的杂质，应遵循展现档案原貌的原则，处理过程中不得去除档案页面原有的纸张褪变斑点、水渍、污点、装订孔等痕迹。</w:t>
      </w:r>
    </w:p>
    <w:p>
      <w:pPr>
        <w:pStyle w:val="null3"/>
        <w:ind w:firstLine="400"/>
      </w:pPr>
      <w:r>
        <w:rPr>
          <w:sz w:val="20"/>
        </w:rPr>
        <w:t>（</w:t>
      </w:r>
      <w:r>
        <w:rPr>
          <w:sz w:val="20"/>
        </w:rPr>
        <w:t>4</w:t>
      </w:r>
      <w:r>
        <w:rPr>
          <w:sz w:val="20"/>
        </w:rPr>
        <w:t>）乙方需自带加工软件，该软件实现功能要符合加工要求，能够有效处理扫描过程中产生的黑边、污点，去底色，加深，不影响页码的调整角度，翻转至正视内容方向。</w:t>
      </w:r>
    </w:p>
    <w:p>
      <w:pPr>
        <w:pStyle w:val="null3"/>
        <w:ind w:firstLine="400"/>
      </w:pPr>
      <w:r>
        <w:rPr>
          <w:sz w:val="20"/>
        </w:rPr>
        <w:t>7.</w:t>
      </w:r>
      <w:r>
        <w:rPr>
          <w:sz w:val="20"/>
        </w:rPr>
        <w:t>图处、编目、</w:t>
      </w:r>
      <w:r>
        <w:rPr>
          <w:sz w:val="20"/>
        </w:rPr>
        <w:t xml:space="preserve">PDF </w:t>
      </w:r>
      <w:r>
        <w:rPr>
          <w:sz w:val="20"/>
        </w:rPr>
        <w:t>处理</w:t>
      </w:r>
    </w:p>
    <w:p>
      <w:pPr>
        <w:pStyle w:val="null3"/>
        <w:ind w:firstLine="400"/>
      </w:pPr>
      <w:r>
        <w:rPr>
          <w:sz w:val="20"/>
        </w:rPr>
        <w:t>（</w:t>
      </w:r>
      <w:r>
        <w:rPr>
          <w:sz w:val="20"/>
        </w:rPr>
        <w:t>1</w:t>
      </w:r>
      <w:r>
        <w:rPr>
          <w:sz w:val="20"/>
        </w:rPr>
        <w:t>）根据原始纸张档案卷上的目录、档案号、案卷号与图像进行关联，调整图像的页序并对图像的质量（去黑边、去黑点等）进行处理，确保扫描图形完整、效果清晰，无信息丢失，无黑边，页面清晰度与档案纸张原件基本保持一致。</w:t>
      </w:r>
    </w:p>
    <w:p>
      <w:pPr>
        <w:pStyle w:val="null3"/>
        <w:ind w:firstLine="400"/>
      </w:pPr>
      <w:r>
        <w:rPr>
          <w:sz w:val="20"/>
        </w:rPr>
        <w:t>（</w:t>
      </w:r>
      <w:r>
        <w:rPr>
          <w:sz w:val="20"/>
        </w:rPr>
        <w:t>2</w:t>
      </w:r>
      <w:r>
        <w:rPr>
          <w:sz w:val="20"/>
        </w:rPr>
        <w:t>）图处后的图片再进行检查，检查无误提交至编目，编目时在系统选择案件相对应的电子目录，根据纸质档案原件目录在系统上填写对应页号，要求电子档案案卷编目与纸质原件目录内容和页码一致。</w:t>
      </w:r>
    </w:p>
    <w:p>
      <w:pPr>
        <w:pStyle w:val="null3"/>
        <w:ind w:firstLine="400"/>
      </w:pPr>
      <w:r>
        <w:rPr>
          <w:sz w:val="20"/>
        </w:rPr>
        <w:t>（</w:t>
      </w:r>
      <w:r>
        <w:rPr>
          <w:sz w:val="20"/>
        </w:rPr>
        <w:t>3</w:t>
      </w:r>
      <w:r>
        <w:rPr>
          <w:sz w:val="20"/>
        </w:rPr>
        <w:t>）编目完成后，需按照档案的装订顺序和档案目录，将每份档案合并为一个多页的</w:t>
      </w:r>
      <w:r>
        <w:rPr>
          <w:sz w:val="20"/>
        </w:rPr>
        <w:t xml:space="preserve">PDF </w:t>
      </w:r>
      <w:r>
        <w:rPr>
          <w:sz w:val="20"/>
        </w:rPr>
        <w:t>文件，并提交。</w:t>
      </w:r>
    </w:p>
    <w:p>
      <w:pPr>
        <w:pStyle w:val="null3"/>
        <w:ind w:firstLine="400"/>
      </w:pPr>
      <w:r>
        <w:rPr>
          <w:sz w:val="20"/>
        </w:rPr>
        <w:t>（</w:t>
      </w:r>
      <w:r>
        <w:rPr>
          <w:sz w:val="20"/>
        </w:rPr>
        <w:t>4</w:t>
      </w:r>
      <w:r>
        <w:rPr>
          <w:sz w:val="20"/>
        </w:rPr>
        <w:t>）要求如下：确保原始纸质档案的档案号、案卷号、目录与电子档案图像正确关联，排序和归类准确无误；同时，纸质档案与电子档案的页数、内容排序需保持一致。</w:t>
      </w:r>
    </w:p>
    <w:p>
      <w:pPr>
        <w:pStyle w:val="null3"/>
        <w:ind w:firstLine="400"/>
      </w:pPr>
      <w:r>
        <w:rPr>
          <w:sz w:val="20"/>
        </w:rPr>
        <w:t>8.</w:t>
      </w:r>
      <w:r>
        <w:rPr>
          <w:sz w:val="20"/>
        </w:rPr>
        <w:t>图文质量检查</w:t>
      </w:r>
    </w:p>
    <w:p>
      <w:pPr>
        <w:pStyle w:val="null3"/>
        <w:ind w:firstLine="400"/>
      </w:pPr>
      <w:r>
        <w:rPr>
          <w:sz w:val="20"/>
        </w:rPr>
        <w:t>乙方安排专人对形成</w:t>
      </w:r>
      <w:r>
        <w:rPr>
          <w:sz w:val="20"/>
        </w:rPr>
        <w:t xml:space="preserve">PDF </w:t>
      </w:r>
      <w:r>
        <w:rPr>
          <w:sz w:val="20"/>
        </w:rPr>
        <w:t>的档案逐一进行检查，对不符合质量要求的返工处理。主要检查内容有：</w:t>
      </w:r>
    </w:p>
    <w:p>
      <w:pPr>
        <w:pStyle w:val="null3"/>
        <w:ind w:firstLine="400"/>
      </w:pPr>
      <w:r>
        <w:rPr>
          <w:sz w:val="20"/>
        </w:rPr>
        <w:t>（</w:t>
      </w:r>
      <w:r>
        <w:rPr>
          <w:sz w:val="20"/>
        </w:rPr>
        <w:t>1</w:t>
      </w:r>
      <w:r>
        <w:rPr>
          <w:sz w:val="20"/>
        </w:rPr>
        <w:t>）著录信息检查：电子档案实行多重索引，能按法院案件的事项（年度、案号、案由、当事人、承办人、案卷号等）进行检索查询。</w:t>
      </w:r>
    </w:p>
    <w:p>
      <w:pPr>
        <w:pStyle w:val="null3"/>
        <w:ind w:firstLine="400"/>
      </w:pPr>
      <w:r>
        <w:rPr>
          <w:sz w:val="20"/>
        </w:rPr>
        <w:t>（</w:t>
      </w:r>
      <w:r>
        <w:rPr>
          <w:sz w:val="20"/>
        </w:rPr>
        <w:t>2</w:t>
      </w:r>
      <w:r>
        <w:rPr>
          <w:sz w:val="20"/>
        </w:rPr>
        <w:t>）影像质量检查：影像质量的检查就是对影像扫描所生成的影像文件清晰度等质量进行检查，存在问题的予以图像修正优化处理，无法通过图像处理解决的需要重新影像扫描处理。</w:t>
      </w:r>
    </w:p>
    <w:p>
      <w:pPr>
        <w:pStyle w:val="null3"/>
        <w:ind w:firstLine="400"/>
      </w:pPr>
      <w:r>
        <w:rPr>
          <w:sz w:val="20"/>
        </w:rPr>
        <w:t>（</w:t>
      </w:r>
      <w:r>
        <w:rPr>
          <w:sz w:val="20"/>
        </w:rPr>
        <w:t>3</w:t>
      </w:r>
      <w:r>
        <w:rPr>
          <w:sz w:val="20"/>
        </w:rPr>
        <w:t>）确保纸质档案与电子档案的页数、内容、排序一致，案卷列表、目录录入正确、归类准确，无缺页、漏页。发现不符合图像质量要求时，应重新进行图像处理。</w:t>
      </w:r>
    </w:p>
    <w:p>
      <w:pPr>
        <w:pStyle w:val="null3"/>
        <w:ind w:firstLine="400"/>
      </w:pPr>
      <w:r>
        <w:rPr>
          <w:sz w:val="20"/>
        </w:rPr>
        <w:t>9.</w:t>
      </w:r>
      <w:r>
        <w:rPr>
          <w:sz w:val="20"/>
        </w:rPr>
        <w:t>数据挂接</w:t>
      </w:r>
    </w:p>
    <w:p>
      <w:pPr>
        <w:pStyle w:val="null3"/>
        <w:ind w:firstLine="400"/>
      </w:pPr>
      <w:r>
        <w:rPr>
          <w:sz w:val="20"/>
        </w:rPr>
        <w:t>（</w:t>
      </w:r>
      <w:r>
        <w:rPr>
          <w:sz w:val="20"/>
        </w:rPr>
        <w:t>1</w:t>
      </w:r>
      <w:r>
        <w:rPr>
          <w:sz w:val="20"/>
        </w:rPr>
        <w:t>）通过系统建立文件名，需输入案件年份、类型、案号，并与对应的案件图像进行数据挂接，从而确保目录数据与数字图像紧密关联。进行数据挂接时，确保案件名和图像名称要一致，挂接工作准确无误。挂接内容涵盖档案的全部资料，包括但不限于民事案件、执行案件、刑事案件等各类案件的诉讼卷，以及刑事案件的检察卷、侦查卷等重要文件。</w:t>
      </w:r>
    </w:p>
    <w:p>
      <w:pPr>
        <w:pStyle w:val="null3"/>
        <w:ind w:firstLine="400"/>
      </w:pPr>
      <w:r>
        <w:rPr>
          <w:sz w:val="20"/>
        </w:rPr>
        <w:t>（</w:t>
      </w:r>
      <w:r>
        <w:rPr>
          <w:sz w:val="20"/>
        </w:rPr>
        <w:t>2</w:t>
      </w:r>
      <w:r>
        <w:rPr>
          <w:sz w:val="20"/>
        </w:rPr>
        <w:t>）电子档案验收：逐条对挂接结果进行检查，包括目录数据与纸质档案数字图像对应的准确性、已挂接数字图像与实际扫描数量的一致性、数字图像是否能正常打开等，发现错误及时进行纠正。</w:t>
      </w:r>
    </w:p>
    <w:p>
      <w:pPr>
        <w:pStyle w:val="null3"/>
        <w:ind w:firstLine="400"/>
      </w:pPr>
      <w:r>
        <w:rPr>
          <w:sz w:val="20"/>
        </w:rPr>
        <w:t>10.</w:t>
      </w:r>
      <w:r>
        <w:rPr>
          <w:sz w:val="20"/>
        </w:rPr>
        <w:t>数据导入</w:t>
      </w:r>
    </w:p>
    <w:p>
      <w:pPr>
        <w:pStyle w:val="null3"/>
        <w:ind w:firstLine="400"/>
      </w:pPr>
      <w:r>
        <w:rPr>
          <w:sz w:val="20"/>
        </w:rPr>
        <w:t>乙方需确保扫描完成的电子档案数据完整且安全地导入至省高院统一部署的档案管理系统和平台，且该系统能够正常使用这些数据进行查询、调阅等操作。</w:t>
      </w:r>
    </w:p>
    <w:p>
      <w:pPr>
        <w:pStyle w:val="null3"/>
        <w:ind w:firstLine="400"/>
      </w:pPr>
      <w:r>
        <w:rPr>
          <w:sz w:val="20"/>
        </w:rPr>
        <w:t>11.</w:t>
      </w:r>
      <w:r>
        <w:rPr>
          <w:sz w:val="20"/>
        </w:rPr>
        <w:t>数据核对</w:t>
      </w:r>
    </w:p>
    <w:p>
      <w:pPr>
        <w:pStyle w:val="null3"/>
        <w:ind w:firstLine="400"/>
      </w:pPr>
      <w:r>
        <w:rPr>
          <w:sz w:val="20"/>
        </w:rPr>
        <w:t>根据案件的相关信息，补充完整档案管理平台上的数据，并核对纸质档案和电子档案，确保电子档案齐全完整。</w:t>
      </w:r>
    </w:p>
    <w:p>
      <w:pPr>
        <w:pStyle w:val="null3"/>
        <w:ind w:firstLine="400"/>
      </w:pPr>
      <w:r>
        <w:rPr>
          <w:sz w:val="20"/>
        </w:rPr>
        <w:t>12.</w:t>
      </w:r>
      <w:r>
        <w:rPr>
          <w:sz w:val="20"/>
        </w:rPr>
        <w:t>数据备份</w:t>
      </w:r>
    </w:p>
    <w:p>
      <w:pPr>
        <w:pStyle w:val="null3"/>
        <w:ind w:firstLine="400"/>
      </w:pPr>
      <w:r>
        <w:rPr>
          <w:sz w:val="20"/>
        </w:rPr>
        <w:t>按照甲方要求，定期对档案数据进行在线</w:t>
      </w:r>
      <w:r>
        <w:rPr>
          <w:sz w:val="20"/>
        </w:rPr>
        <w:t>/</w:t>
      </w:r>
      <w:r>
        <w:rPr>
          <w:sz w:val="20"/>
        </w:rPr>
        <w:t>离线备份。项目结束后，乙方要以</w:t>
      </w:r>
      <w:r>
        <w:rPr>
          <w:sz w:val="20"/>
        </w:rPr>
        <w:t xml:space="preserve">PDF </w:t>
      </w:r>
      <w:r>
        <w:rPr>
          <w:sz w:val="20"/>
        </w:rPr>
        <w:t>和</w:t>
      </w:r>
      <w:r>
        <w:rPr>
          <w:sz w:val="20"/>
        </w:rPr>
        <w:t xml:space="preserve">JPG </w:t>
      </w:r>
      <w:r>
        <w:rPr>
          <w:sz w:val="20"/>
        </w:rPr>
        <w:t>的格式刻录</w:t>
      </w:r>
      <w:r>
        <w:rPr>
          <w:sz w:val="20"/>
        </w:rPr>
        <w:t>DVD</w:t>
      </w:r>
      <w:r>
        <w:rPr>
          <w:sz w:val="20"/>
        </w:rPr>
        <w:t>数据蓝光光盘和移动硬盘各一式两份交付甲方。</w:t>
      </w:r>
    </w:p>
    <w:p>
      <w:pPr>
        <w:pStyle w:val="null3"/>
      </w:pPr>
      <w:r>
        <w:rPr>
          <w:sz w:val="20"/>
        </w:rPr>
        <w:t>（三）立案辅助服务</w:t>
      </w:r>
    </w:p>
    <w:p>
      <w:pPr>
        <w:pStyle w:val="null3"/>
        <w:ind w:firstLine="400"/>
      </w:pPr>
      <w:r>
        <w:rPr>
          <w:sz w:val="20"/>
        </w:rPr>
        <w:t>配合甲方立案庭诉讼工作的正常开展，达到速裁案件</w:t>
      </w:r>
      <w:r>
        <w:rPr>
          <w:sz w:val="20"/>
        </w:rPr>
        <w:t>3</w:t>
      </w:r>
      <w:r>
        <w:rPr>
          <w:sz w:val="20"/>
        </w:rPr>
        <w:t>天内立案并移交，繁案</w:t>
      </w:r>
      <w:r>
        <w:rPr>
          <w:sz w:val="20"/>
        </w:rPr>
        <w:t xml:space="preserve">7 </w:t>
      </w:r>
      <w:r>
        <w:rPr>
          <w:sz w:val="20"/>
        </w:rPr>
        <w:t>天内立案、排期并送达的任务要求。人员配置：扫描</w:t>
      </w:r>
      <w:r>
        <w:rPr>
          <w:sz w:val="20"/>
        </w:rPr>
        <w:t xml:space="preserve">2 </w:t>
      </w:r>
      <w:r>
        <w:rPr>
          <w:sz w:val="20"/>
        </w:rPr>
        <w:t>人、信息录入</w:t>
      </w:r>
      <w:r>
        <w:rPr>
          <w:sz w:val="20"/>
        </w:rPr>
        <w:t xml:space="preserve">3 </w:t>
      </w:r>
      <w:r>
        <w:rPr>
          <w:sz w:val="20"/>
        </w:rPr>
        <w:t>人、文书制作</w:t>
      </w:r>
      <w:r>
        <w:rPr>
          <w:sz w:val="20"/>
        </w:rPr>
        <w:t xml:space="preserve">2 </w:t>
      </w:r>
      <w:r>
        <w:rPr>
          <w:sz w:val="20"/>
        </w:rPr>
        <w:t>人、集约送达</w:t>
      </w:r>
      <w:r>
        <w:rPr>
          <w:sz w:val="20"/>
        </w:rPr>
        <w:t xml:space="preserve">2 </w:t>
      </w:r>
      <w:r>
        <w:rPr>
          <w:sz w:val="20"/>
        </w:rPr>
        <w:t>人。人员配置可根据实际情况调动。</w:t>
      </w:r>
    </w:p>
    <w:p>
      <w:pPr>
        <w:pStyle w:val="null3"/>
        <w:ind w:firstLine="400"/>
      </w:pPr>
      <w:r>
        <w:rPr>
          <w:sz w:val="20"/>
        </w:rPr>
        <w:t>1.</w:t>
      </w:r>
      <w:r>
        <w:rPr>
          <w:sz w:val="20"/>
        </w:rPr>
        <w:t>材料扫描服务</w:t>
      </w:r>
    </w:p>
    <w:p>
      <w:pPr>
        <w:pStyle w:val="null3"/>
        <w:ind w:firstLine="400"/>
      </w:pPr>
      <w:r>
        <w:rPr>
          <w:sz w:val="20"/>
        </w:rPr>
        <w:t>负责立案时案卷材料的扫描、上传，</w:t>
      </w:r>
      <w:r>
        <w:rPr>
          <w:sz w:val="20"/>
        </w:rPr>
        <w:t>(</w:t>
      </w:r>
      <w:r>
        <w:rPr>
          <w:sz w:val="20"/>
        </w:rPr>
        <w:t>预计</w:t>
      </w:r>
      <w:r>
        <w:rPr>
          <w:sz w:val="20"/>
        </w:rPr>
        <w:t>2025</w:t>
      </w:r>
      <w:r>
        <w:rPr>
          <w:sz w:val="20"/>
        </w:rPr>
        <w:t>年新收案件约为</w:t>
      </w:r>
      <w:r>
        <w:rPr>
          <w:sz w:val="20"/>
        </w:rPr>
        <w:t xml:space="preserve">1.7 </w:t>
      </w:r>
      <w:r>
        <w:rPr>
          <w:sz w:val="20"/>
        </w:rPr>
        <w:t>万件案件</w:t>
      </w:r>
      <w:r>
        <w:rPr>
          <w:sz w:val="20"/>
        </w:rPr>
        <w:t>)</w:t>
      </w:r>
      <w:r>
        <w:rPr>
          <w:sz w:val="20"/>
        </w:rPr>
        <w:t>主要负责将完成系统立案录入的案件材料进行整理，扫描，并上传到办案系统，生成电子卷宗材料，并制作案件流转二维码。</w:t>
      </w:r>
    </w:p>
    <w:p>
      <w:pPr>
        <w:pStyle w:val="null3"/>
        <w:ind w:firstLine="400"/>
      </w:pPr>
      <w:r>
        <w:rPr>
          <w:sz w:val="20"/>
        </w:rPr>
        <w:t>2.</w:t>
      </w:r>
      <w:r>
        <w:rPr>
          <w:sz w:val="20"/>
        </w:rPr>
        <w:t>信息录入服务</w:t>
      </w:r>
    </w:p>
    <w:p>
      <w:pPr>
        <w:pStyle w:val="null3"/>
        <w:ind w:firstLine="400"/>
      </w:pPr>
      <w:r>
        <w:rPr>
          <w:sz w:val="20"/>
        </w:rPr>
        <w:t>负责各类案件的快速录入、核对，并生成案号（预计</w:t>
      </w:r>
      <w:r>
        <w:rPr>
          <w:sz w:val="20"/>
        </w:rPr>
        <w:t>2025</w:t>
      </w:r>
      <w:r>
        <w:rPr>
          <w:sz w:val="20"/>
        </w:rPr>
        <w:t>年新收案件约为</w:t>
      </w:r>
      <w:r>
        <w:rPr>
          <w:sz w:val="20"/>
        </w:rPr>
        <w:t xml:space="preserve">1.7 </w:t>
      </w:r>
      <w:r>
        <w:rPr>
          <w:sz w:val="20"/>
        </w:rPr>
        <w:t>万件案件）</w:t>
      </w:r>
    </w:p>
    <w:p>
      <w:pPr>
        <w:pStyle w:val="null3"/>
        <w:ind w:firstLine="400"/>
      </w:pPr>
      <w:r>
        <w:rPr>
          <w:sz w:val="20"/>
        </w:rPr>
        <w:t>3.</w:t>
      </w:r>
      <w:r>
        <w:rPr>
          <w:sz w:val="20"/>
        </w:rPr>
        <w:t>文书材料制作服务</w:t>
      </w:r>
    </w:p>
    <w:p>
      <w:pPr>
        <w:pStyle w:val="null3"/>
        <w:ind w:firstLine="400"/>
      </w:pPr>
      <w:r>
        <w:rPr>
          <w:sz w:val="20"/>
        </w:rPr>
        <w:t>负责民商事、行政、执行案件的传票、受理通知书、应诉通知书、开庭通知书、公告等各类格式法律文书的制作（一年约</w:t>
      </w:r>
      <w:r>
        <w:rPr>
          <w:sz w:val="20"/>
        </w:rPr>
        <w:t>1.6</w:t>
      </w:r>
      <w:r>
        <w:rPr>
          <w:sz w:val="20"/>
        </w:rPr>
        <w:t>万件约</w:t>
      </w:r>
      <w:r>
        <w:rPr>
          <w:sz w:val="20"/>
        </w:rPr>
        <w:t>30</w:t>
      </w:r>
      <w:r>
        <w:rPr>
          <w:sz w:val="20"/>
        </w:rPr>
        <w:t>万份格式文书）。</w:t>
      </w:r>
    </w:p>
    <w:p>
      <w:pPr>
        <w:pStyle w:val="null3"/>
        <w:ind w:firstLine="400"/>
      </w:pPr>
      <w:r>
        <w:rPr>
          <w:sz w:val="20"/>
        </w:rPr>
        <w:t>4.</w:t>
      </w:r>
      <w:r>
        <w:rPr>
          <w:sz w:val="20"/>
        </w:rPr>
        <w:t>集约送达服务</w:t>
      </w:r>
    </w:p>
    <w:p>
      <w:pPr>
        <w:pStyle w:val="null3"/>
        <w:ind w:firstLine="400"/>
      </w:pPr>
      <w:r>
        <w:rPr>
          <w:sz w:val="20"/>
        </w:rPr>
        <w:t>负责打印已制作好的格式文书及分流，并进行直接送达、电子送达及邮寄送达等（约</w:t>
      </w:r>
      <w:r>
        <w:rPr>
          <w:sz w:val="20"/>
        </w:rPr>
        <w:t xml:space="preserve">7 </w:t>
      </w:r>
      <w:r>
        <w:rPr>
          <w:sz w:val="20"/>
        </w:rPr>
        <w:t>万人次）。</w:t>
      </w:r>
    </w:p>
    <w:p>
      <w:pPr>
        <w:pStyle w:val="null3"/>
      </w:pPr>
      <w:r>
        <w:rPr>
          <w:sz w:val="20"/>
        </w:rPr>
        <w:t>（四）档案管理服务</w:t>
      </w:r>
    </w:p>
    <w:p>
      <w:pPr>
        <w:pStyle w:val="null3"/>
        <w:ind w:firstLine="400"/>
      </w:pPr>
      <w:r>
        <w:rPr>
          <w:sz w:val="20"/>
        </w:rPr>
        <w:t>乙方负责对卷宗的规范存放、高效检索进行精细化管理，并提供精准的数据展示服务。乙方应提供档案中间库管理系统，以实现案件纸质卷宗的流转管理，通过</w:t>
      </w:r>
      <w:r>
        <w:rPr>
          <w:sz w:val="20"/>
        </w:rPr>
        <w:t>RFID</w:t>
      </w:r>
      <w:r>
        <w:rPr>
          <w:sz w:val="20"/>
        </w:rPr>
        <w:t>技术识别纸质卷宗材料信息，实时展现案件纸质卷宗的整体流转情况。人员配置：追收</w:t>
      </w:r>
      <w:r>
        <w:rPr>
          <w:sz w:val="20"/>
        </w:rPr>
        <w:t>1</w:t>
      </w:r>
      <w:r>
        <w:rPr>
          <w:sz w:val="20"/>
        </w:rPr>
        <w:t>人、装订</w:t>
      </w:r>
      <w:r>
        <w:rPr>
          <w:sz w:val="20"/>
        </w:rPr>
        <w:t xml:space="preserve">1 </w:t>
      </w:r>
      <w:r>
        <w:rPr>
          <w:sz w:val="20"/>
        </w:rPr>
        <w:t>人、打盒</w:t>
      </w:r>
      <w:r>
        <w:rPr>
          <w:sz w:val="20"/>
        </w:rPr>
        <w:t>1</w:t>
      </w:r>
      <w:r>
        <w:rPr>
          <w:sz w:val="20"/>
        </w:rPr>
        <w:t>人、档案验收</w:t>
      </w:r>
      <w:r>
        <w:rPr>
          <w:sz w:val="20"/>
        </w:rPr>
        <w:t>1</w:t>
      </w:r>
      <w:r>
        <w:rPr>
          <w:sz w:val="20"/>
        </w:rPr>
        <w:t>人、档案上架及</w:t>
      </w:r>
      <w:r>
        <w:rPr>
          <w:sz w:val="20"/>
        </w:rPr>
        <w:t xml:space="preserve">RFID </w:t>
      </w:r>
      <w:r>
        <w:rPr>
          <w:sz w:val="20"/>
        </w:rPr>
        <w:t>库房管理</w:t>
      </w:r>
      <w:r>
        <w:rPr>
          <w:sz w:val="20"/>
        </w:rPr>
        <w:t>2</w:t>
      </w:r>
      <w:r>
        <w:rPr>
          <w:sz w:val="20"/>
        </w:rPr>
        <w:t>人、咨询接待</w:t>
      </w:r>
      <w:r>
        <w:rPr>
          <w:sz w:val="20"/>
        </w:rPr>
        <w:t>2</w:t>
      </w:r>
      <w:r>
        <w:rPr>
          <w:sz w:val="20"/>
        </w:rPr>
        <w:t>人、档案出入库及运输</w:t>
      </w:r>
      <w:r>
        <w:rPr>
          <w:sz w:val="20"/>
        </w:rPr>
        <w:t>2</w:t>
      </w:r>
      <w:r>
        <w:rPr>
          <w:sz w:val="20"/>
        </w:rPr>
        <w:t>人、文书打印</w:t>
      </w:r>
      <w:r>
        <w:rPr>
          <w:sz w:val="20"/>
        </w:rPr>
        <w:t>1</w:t>
      </w:r>
      <w:r>
        <w:rPr>
          <w:sz w:val="20"/>
        </w:rPr>
        <w:t>人。人员配置可根据实际情况调动。</w:t>
      </w:r>
    </w:p>
    <w:p>
      <w:pPr>
        <w:pStyle w:val="null3"/>
        <w:ind w:firstLine="400"/>
      </w:pPr>
      <w:r>
        <w:rPr>
          <w:sz w:val="20"/>
        </w:rPr>
        <w:t>1.</w:t>
      </w:r>
      <w:r>
        <w:rPr>
          <w:sz w:val="20"/>
        </w:rPr>
        <w:t>档案追收</w:t>
      </w:r>
    </w:p>
    <w:p>
      <w:pPr>
        <w:pStyle w:val="null3"/>
        <w:ind w:firstLine="400"/>
      </w:pPr>
      <w:r>
        <w:rPr>
          <w:sz w:val="20"/>
        </w:rPr>
        <w:t>（</w:t>
      </w:r>
      <w:r>
        <w:rPr>
          <w:sz w:val="20"/>
        </w:rPr>
        <w:t>1</w:t>
      </w:r>
      <w:r>
        <w:rPr>
          <w:sz w:val="20"/>
        </w:rPr>
        <w:t>）利用综合业务系统，每月定期向各庭室负责人及审判人员邮箱发送超期未归档及长期未还档案统计表，以推进档案催收工作。</w:t>
      </w:r>
    </w:p>
    <w:p>
      <w:pPr>
        <w:pStyle w:val="null3"/>
        <w:ind w:firstLine="400"/>
      </w:pPr>
      <w:r>
        <w:rPr>
          <w:sz w:val="20"/>
        </w:rPr>
        <w:t>（</w:t>
      </w:r>
      <w:r>
        <w:rPr>
          <w:sz w:val="20"/>
        </w:rPr>
        <w:t>2</w:t>
      </w:r>
      <w:r>
        <w:rPr>
          <w:sz w:val="20"/>
        </w:rPr>
        <w:t>）每月定期汇总各庭室反馈，并对数据进行细致筛选与核对。</w:t>
      </w:r>
    </w:p>
    <w:p>
      <w:pPr>
        <w:pStyle w:val="null3"/>
        <w:ind w:firstLine="400"/>
      </w:pPr>
      <w:r>
        <w:rPr>
          <w:sz w:val="20"/>
        </w:rPr>
        <w:t>（</w:t>
      </w:r>
      <w:r>
        <w:rPr>
          <w:sz w:val="20"/>
        </w:rPr>
        <w:t>3</w:t>
      </w:r>
      <w:r>
        <w:rPr>
          <w:sz w:val="20"/>
        </w:rPr>
        <w:t>）每月制作全院超期未归档及长期未还案件汇总表、明细表，并根据收集各庭室和承办人的反馈意见进行筛选、核对、统计超期未归档原因、分析原因，书面报档案室。</w:t>
      </w:r>
    </w:p>
    <w:p>
      <w:pPr>
        <w:pStyle w:val="null3"/>
        <w:ind w:firstLine="400"/>
      </w:pPr>
      <w:r>
        <w:rPr>
          <w:sz w:val="20"/>
        </w:rPr>
        <w:t>2.</w:t>
      </w:r>
      <w:r>
        <w:rPr>
          <w:sz w:val="20"/>
        </w:rPr>
        <w:t>档案装订及打盒</w:t>
      </w:r>
    </w:p>
    <w:p>
      <w:pPr>
        <w:pStyle w:val="null3"/>
        <w:ind w:firstLine="400"/>
      </w:pPr>
      <w:r>
        <w:rPr>
          <w:sz w:val="20"/>
        </w:rPr>
        <w:t>（</w:t>
      </w:r>
      <w:r>
        <w:rPr>
          <w:sz w:val="20"/>
        </w:rPr>
        <w:t>1</w:t>
      </w:r>
      <w:r>
        <w:rPr>
          <w:sz w:val="20"/>
        </w:rPr>
        <w:t>）装订人员摘除档案夹，对纸质档案逐卷清点页数，把材料按编号叠齐修正按案件编号装订，对于影像扫描前已折叠过的大于</w:t>
      </w:r>
      <w:r>
        <w:rPr>
          <w:sz w:val="20"/>
        </w:rPr>
        <w:t xml:space="preserve">A4 </w:t>
      </w:r>
      <w:r>
        <w:rPr>
          <w:sz w:val="20"/>
        </w:rPr>
        <w:t>幅面的图纸应按照相关规范重新折叠，卷内竖向文书材料文字朝上，横向材料文字朝向内侧，最后按照要求对档案以卷为单位进行装订，卷宗的装订必须牢固、整齐、美观，卷内材料右齐下齐，三孔一条线进行装订，装订线长度以</w:t>
      </w:r>
      <w:r>
        <w:rPr>
          <w:sz w:val="20"/>
        </w:rPr>
        <w:t xml:space="preserve">180 </w:t>
      </w:r>
      <w:r>
        <w:rPr>
          <w:sz w:val="20"/>
        </w:rPr>
        <w:t>毫米左右为宜。将纸质档案装订成册，装订后将档案证物与档案粘贴在一起，贴好封条并加盖档案印章。</w:t>
      </w:r>
    </w:p>
    <w:p>
      <w:pPr>
        <w:pStyle w:val="null3"/>
        <w:ind w:firstLine="400"/>
      </w:pPr>
      <w:r>
        <w:rPr>
          <w:sz w:val="20"/>
        </w:rPr>
        <w:t>（</w:t>
      </w:r>
      <w:r>
        <w:rPr>
          <w:sz w:val="20"/>
        </w:rPr>
        <w:t>2</w:t>
      </w:r>
      <w:r>
        <w:rPr>
          <w:sz w:val="20"/>
        </w:rPr>
        <w:t>）根据封面资料打印档案盒，确保档案装盒符合中山市中级人民法院档案规范化整理的要求，参照《人民法院档案管理办法》进行。</w:t>
      </w:r>
    </w:p>
    <w:p>
      <w:pPr>
        <w:pStyle w:val="null3"/>
        <w:ind w:firstLine="400"/>
      </w:pPr>
      <w:r>
        <w:rPr>
          <w:sz w:val="20"/>
        </w:rPr>
        <w:t>（</w:t>
      </w:r>
      <w:r>
        <w:rPr>
          <w:sz w:val="20"/>
        </w:rPr>
        <w:t>3</w:t>
      </w:r>
      <w:r>
        <w:rPr>
          <w:sz w:val="20"/>
        </w:rPr>
        <w:t>）根据档案盒封面设计各类型档案的打印格式，根据每个纸质案件的封面内容在电脑里对应的位置输入相应的内容（案号、案由、当事人信息、审判人员、日期、册数、案卷号等），检查无误后打印档案盒，将案卷装入对应档案盒中，确保档案盒打印清晰美观和统一、档案没有漏装、错装及装盒不规范等问题。如打印有不合规范重新打印。</w:t>
      </w:r>
    </w:p>
    <w:p>
      <w:pPr>
        <w:pStyle w:val="null3"/>
        <w:ind w:firstLine="400"/>
      </w:pPr>
      <w:r>
        <w:rPr>
          <w:sz w:val="20"/>
        </w:rPr>
        <w:t>（</w:t>
      </w:r>
      <w:r>
        <w:rPr>
          <w:sz w:val="20"/>
        </w:rPr>
        <w:t>4</w:t>
      </w:r>
      <w:r>
        <w:rPr>
          <w:sz w:val="20"/>
        </w:rPr>
        <w:t>）乙方需指派专业人员，对拟交付验收的档案进行逐卷细致检查。检查内容包括但不限于档案册数、材料完整性、档案盒面信息的准确性、档案封面信息的一致性等，确保档案盒打印既清晰又美观，且格式统一。同时，严格核查档案是否存在漏装、错装或装盒不规范等问题，确保档案质量。</w:t>
      </w:r>
    </w:p>
    <w:p>
      <w:pPr>
        <w:pStyle w:val="null3"/>
        <w:ind w:firstLine="400"/>
      </w:pPr>
      <w:r>
        <w:rPr>
          <w:sz w:val="20"/>
        </w:rPr>
        <w:t>（</w:t>
      </w:r>
      <w:r>
        <w:rPr>
          <w:sz w:val="20"/>
        </w:rPr>
        <w:t>5</w:t>
      </w:r>
      <w:r>
        <w:rPr>
          <w:sz w:val="20"/>
        </w:rPr>
        <w:t>）归档验收，已装盒的纸质档案需移交至档案室，由验收人员对纸质档案及电子档案进行验收，及时实现档案“已数字化”状态。对于验收过程中发现的问题，及时进行沟通并处理。</w:t>
      </w:r>
    </w:p>
    <w:p>
      <w:pPr>
        <w:pStyle w:val="null3"/>
        <w:ind w:firstLine="400"/>
      </w:pPr>
      <w:r>
        <w:rPr>
          <w:sz w:val="20"/>
        </w:rPr>
        <w:t>3.</w:t>
      </w:r>
      <w:r>
        <w:rPr>
          <w:sz w:val="20"/>
        </w:rPr>
        <w:t>档案检查接收</w:t>
      </w:r>
    </w:p>
    <w:p>
      <w:pPr>
        <w:pStyle w:val="null3"/>
        <w:ind w:firstLine="400"/>
      </w:pPr>
      <w:r>
        <w:rPr>
          <w:sz w:val="20"/>
        </w:rPr>
        <w:t>（</w:t>
      </w:r>
      <w:r>
        <w:rPr>
          <w:sz w:val="20"/>
        </w:rPr>
        <w:t>1</w:t>
      </w:r>
      <w:r>
        <w:rPr>
          <w:sz w:val="20"/>
        </w:rPr>
        <w:t>）依据各审判业务部门提交的《归档清单》，逐件核对并点算接收实体案件，完成纸质与系统签收。同时，按照《人民法院诉讼文书材料立卷规范》逐卷检查验收，不合格者退回相关业务部门重新整理。</w:t>
      </w:r>
    </w:p>
    <w:p>
      <w:pPr>
        <w:pStyle w:val="null3"/>
        <w:ind w:firstLine="400"/>
      </w:pPr>
      <w:r>
        <w:rPr>
          <w:sz w:val="20"/>
        </w:rPr>
        <w:t>（</w:t>
      </w:r>
      <w:r>
        <w:rPr>
          <w:sz w:val="20"/>
        </w:rPr>
        <w:t>2</w:t>
      </w:r>
      <w:r>
        <w:rPr>
          <w:sz w:val="20"/>
        </w:rPr>
        <w:t>）扫描档案袋上的二维码，在“卷宗流转管理系统”确认接收，并在《归档清单》上签名确认。</w:t>
      </w:r>
    </w:p>
    <w:p>
      <w:pPr>
        <w:pStyle w:val="null3"/>
        <w:ind w:firstLine="400"/>
      </w:pPr>
      <w:r>
        <w:rPr>
          <w:sz w:val="20"/>
        </w:rPr>
        <w:t>（</w:t>
      </w:r>
      <w:r>
        <w:rPr>
          <w:sz w:val="20"/>
        </w:rPr>
        <w:t>3</w:t>
      </w:r>
      <w:r>
        <w:rPr>
          <w:sz w:val="20"/>
        </w:rPr>
        <w:t>）在综合业务系统对每个案件进行案件基本信息核对后对案件进行纸质签收和系统签收，每件档案系统签收后生成一个归档号，并在案件袋上标注。</w:t>
      </w:r>
    </w:p>
    <w:p>
      <w:pPr>
        <w:pStyle w:val="null3"/>
        <w:ind w:firstLine="400"/>
      </w:pPr>
      <w:r>
        <w:rPr>
          <w:sz w:val="20"/>
        </w:rPr>
        <w:t>（</w:t>
      </w:r>
      <w:r>
        <w:rPr>
          <w:sz w:val="20"/>
        </w:rPr>
        <w:t>4</w:t>
      </w:r>
      <w:r>
        <w:rPr>
          <w:sz w:val="20"/>
        </w:rPr>
        <w:t>）检查有问题的档案发回处理。</w:t>
      </w:r>
    </w:p>
    <w:p>
      <w:pPr>
        <w:pStyle w:val="null3"/>
        <w:ind w:firstLine="400"/>
      </w:pPr>
      <w:r>
        <w:rPr>
          <w:sz w:val="20"/>
        </w:rPr>
        <w:t>4.</w:t>
      </w:r>
      <w:r>
        <w:rPr>
          <w:sz w:val="20"/>
        </w:rPr>
        <w:t>定期盘点</w:t>
      </w:r>
    </w:p>
    <w:p>
      <w:pPr>
        <w:pStyle w:val="null3"/>
        <w:ind w:firstLine="400"/>
      </w:pPr>
      <w:r>
        <w:rPr>
          <w:sz w:val="20"/>
        </w:rPr>
        <w:t>（</w:t>
      </w:r>
      <w:r>
        <w:rPr>
          <w:sz w:val="20"/>
        </w:rPr>
        <w:t>1</w:t>
      </w:r>
      <w:r>
        <w:rPr>
          <w:sz w:val="20"/>
        </w:rPr>
        <w:t>）定期到库房盘点，通过</w:t>
      </w:r>
      <w:r>
        <w:rPr>
          <w:sz w:val="20"/>
        </w:rPr>
        <w:t>RFID</w:t>
      </w:r>
      <w:r>
        <w:rPr>
          <w:sz w:val="20"/>
        </w:rPr>
        <w:t>对档案位置及数量等盘点，盘点后数据进行整合、统计、分析，生成档案盘点报表、档案借阅明细报表、档案接收情况统计分析报表等并上报档案室。</w:t>
      </w:r>
    </w:p>
    <w:p>
      <w:pPr>
        <w:pStyle w:val="null3"/>
        <w:ind w:firstLine="400"/>
      </w:pPr>
      <w:r>
        <w:rPr>
          <w:sz w:val="20"/>
        </w:rPr>
        <w:t>（</w:t>
      </w:r>
      <w:r>
        <w:rPr>
          <w:sz w:val="20"/>
        </w:rPr>
        <w:t>2</w:t>
      </w:r>
      <w:r>
        <w:rPr>
          <w:sz w:val="20"/>
        </w:rPr>
        <w:t>）根据相关数据，通知借用期限将到或已超期的借卷人限期内归还档案，如需续借到档案室办理续借手续。确保数据得到及时的核查、追踪及处理。</w:t>
      </w:r>
    </w:p>
    <w:p>
      <w:pPr>
        <w:pStyle w:val="null3"/>
        <w:ind w:firstLine="400"/>
      </w:pPr>
      <w:r>
        <w:rPr>
          <w:sz w:val="20"/>
        </w:rPr>
        <w:t>5.RFID</w:t>
      </w:r>
      <w:r>
        <w:rPr>
          <w:sz w:val="20"/>
        </w:rPr>
        <w:t>档案管理</w:t>
      </w:r>
    </w:p>
    <w:p>
      <w:pPr>
        <w:pStyle w:val="null3"/>
        <w:ind w:firstLine="400"/>
      </w:pPr>
      <w:r>
        <w:rPr>
          <w:sz w:val="20"/>
        </w:rPr>
        <w:t>（</w:t>
      </w:r>
      <w:r>
        <w:rPr>
          <w:sz w:val="20"/>
        </w:rPr>
        <w:t>1</w:t>
      </w:r>
      <w:r>
        <w:rPr>
          <w:sz w:val="20"/>
        </w:rPr>
        <w:t>）生成</w:t>
      </w:r>
      <w:r>
        <w:rPr>
          <w:sz w:val="20"/>
        </w:rPr>
        <w:t>RFID</w:t>
      </w:r>
      <w:r>
        <w:rPr>
          <w:sz w:val="20"/>
        </w:rPr>
        <w:t>电子标签，将案卷号写入</w:t>
      </w:r>
      <w:r>
        <w:rPr>
          <w:sz w:val="20"/>
        </w:rPr>
        <w:t>RFID</w:t>
      </w:r>
      <w:r>
        <w:rPr>
          <w:sz w:val="20"/>
        </w:rPr>
        <w:t>档案标签与数据库，实现</w:t>
      </w:r>
      <w:r>
        <w:rPr>
          <w:sz w:val="20"/>
        </w:rPr>
        <w:t>RFID</w:t>
      </w:r>
      <w:r>
        <w:rPr>
          <w:sz w:val="20"/>
        </w:rPr>
        <w:t>档案标签与案卷号的唯一关联。关联完成后，通过</w:t>
      </w:r>
      <w:r>
        <w:rPr>
          <w:sz w:val="20"/>
        </w:rPr>
        <w:t>RFID</w:t>
      </w:r>
      <w:r>
        <w:rPr>
          <w:sz w:val="20"/>
        </w:rPr>
        <w:t>设备即可轻松读取档案标签，系统随之展示案卷的详细信息，包括案卷号、受理人及创建时间等。</w:t>
      </w:r>
    </w:p>
    <w:p>
      <w:pPr>
        <w:pStyle w:val="null3"/>
        <w:ind w:firstLine="400"/>
      </w:pPr>
      <w:r>
        <w:rPr>
          <w:sz w:val="20"/>
        </w:rPr>
        <w:t>（</w:t>
      </w:r>
      <w:r>
        <w:rPr>
          <w:sz w:val="20"/>
        </w:rPr>
        <w:t>2</w:t>
      </w:r>
      <w:r>
        <w:rPr>
          <w:sz w:val="20"/>
        </w:rPr>
        <w:t>）档案标签更换，当档案标签在使用过程中，被破坏或撕损时，将原标签撕掉后重新粘贴新的</w:t>
      </w:r>
      <w:r>
        <w:rPr>
          <w:sz w:val="20"/>
        </w:rPr>
        <w:t>RFID</w:t>
      </w:r>
      <w:r>
        <w:rPr>
          <w:sz w:val="20"/>
        </w:rPr>
        <w:t>档案标签，通过档案标签更换模块，实现重新关联。</w:t>
      </w:r>
    </w:p>
    <w:p>
      <w:pPr>
        <w:pStyle w:val="null3"/>
        <w:ind w:firstLine="400"/>
      </w:pPr>
      <w:r>
        <w:rPr>
          <w:sz w:val="20"/>
        </w:rPr>
        <w:t>（</w:t>
      </w:r>
      <w:r>
        <w:rPr>
          <w:sz w:val="20"/>
        </w:rPr>
        <w:t>3</w:t>
      </w:r>
      <w:r>
        <w:rPr>
          <w:sz w:val="20"/>
        </w:rPr>
        <w:t>）工作台系统涵盖档案的归档、调档申请、借阅、归还、续借等多项功能，并包括对档案读者的管理以及档案的查询统计、借阅情况分析等。</w:t>
      </w:r>
    </w:p>
    <w:p>
      <w:pPr>
        <w:pStyle w:val="null3"/>
        <w:ind w:firstLine="400"/>
      </w:pPr>
      <w:r>
        <w:rPr>
          <w:sz w:val="20"/>
        </w:rPr>
        <w:t>（</w:t>
      </w:r>
      <w:r>
        <w:rPr>
          <w:sz w:val="20"/>
        </w:rPr>
        <w:t>4</w:t>
      </w:r>
      <w:r>
        <w:rPr>
          <w:sz w:val="20"/>
        </w:rPr>
        <w:t>）智能盘点，在</w:t>
      </w:r>
      <w:r>
        <w:rPr>
          <w:sz w:val="20"/>
        </w:rPr>
        <w:t>RFID</w:t>
      </w:r>
      <w:r>
        <w:rPr>
          <w:sz w:val="20"/>
        </w:rPr>
        <w:t>档案管理系统中，档案位置管理的最小单位为密集架的一层（或一格），每一层上粘贴一个</w:t>
      </w:r>
      <w:r>
        <w:rPr>
          <w:sz w:val="20"/>
        </w:rPr>
        <w:t>RFID</w:t>
      </w:r>
      <w:r>
        <w:rPr>
          <w:sz w:val="20"/>
        </w:rPr>
        <w:t>层架标签，系统为每一层进行顺序编码，</w:t>
      </w:r>
      <w:r>
        <w:rPr>
          <w:sz w:val="20"/>
        </w:rPr>
        <w:t>RFID</w:t>
      </w:r>
      <w:r>
        <w:rPr>
          <w:sz w:val="20"/>
        </w:rPr>
        <w:t>层架标签上打印该编码内容，以方便工作人员查看。当档案放到密集架的某一层时，需要将</w:t>
      </w:r>
      <w:r>
        <w:rPr>
          <w:sz w:val="20"/>
        </w:rPr>
        <w:t>RFID</w:t>
      </w:r>
      <w:r>
        <w:rPr>
          <w:sz w:val="20"/>
        </w:rPr>
        <w:t>档案标签与</w:t>
      </w:r>
      <w:r>
        <w:rPr>
          <w:sz w:val="20"/>
        </w:rPr>
        <w:t>RFID</w:t>
      </w:r>
      <w:r>
        <w:rPr>
          <w:sz w:val="20"/>
        </w:rPr>
        <w:t>层架标签的关联。系统在顺架、盘点、倒架等工作时，需要通过</w:t>
      </w:r>
      <w:r>
        <w:rPr>
          <w:sz w:val="20"/>
        </w:rPr>
        <w:t>RFID</w:t>
      </w:r>
      <w:r>
        <w:rPr>
          <w:sz w:val="20"/>
        </w:rPr>
        <w:t>手持盘点机读取</w:t>
      </w:r>
      <w:r>
        <w:rPr>
          <w:sz w:val="20"/>
        </w:rPr>
        <w:t>RFID</w:t>
      </w:r>
      <w:r>
        <w:rPr>
          <w:sz w:val="20"/>
        </w:rPr>
        <w:t>层架标签与</w:t>
      </w:r>
      <w:r>
        <w:rPr>
          <w:sz w:val="20"/>
        </w:rPr>
        <w:t>RFID</w:t>
      </w:r>
      <w:r>
        <w:rPr>
          <w:sz w:val="20"/>
        </w:rPr>
        <w:t>档案标签，再实现相应的业务处理。</w:t>
      </w:r>
    </w:p>
    <w:p>
      <w:pPr>
        <w:pStyle w:val="null3"/>
        <w:ind w:firstLine="400"/>
      </w:pPr>
      <w:r>
        <w:rPr>
          <w:sz w:val="20"/>
        </w:rPr>
        <w:t>（</w:t>
      </w:r>
      <w:r>
        <w:rPr>
          <w:sz w:val="20"/>
        </w:rPr>
        <w:t>5</w:t>
      </w:r>
      <w:r>
        <w:rPr>
          <w:sz w:val="20"/>
        </w:rPr>
        <w:t>）协助业务部门司法辅助人员及时扫描审判阶段电子卷宗，以实现立案、审判、归档三个环节的电子卷宗标准统一和数据共享，做到电子卷宗实时随案生成和符合应用场景。</w:t>
      </w:r>
    </w:p>
    <w:p>
      <w:pPr>
        <w:pStyle w:val="null3"/>
        <w:ind w:firstLine="400"/>
      </w:pPr>
      <w:r>
        <w:rPr>
          <w:sz w:val="20"/>
        </w:rPr>
        <w:t>（</w:t>
      </w:r>
      <w:r>
        <w:rPr>
          <w:sz w:val="20"/>
        </w:rPr>
        <w:t>6</w:t>
      </w:r>
      <w:r>
        <w:rPr>
          <w:sz w:val="20"/>
        </w:rPr>
        <w:t>）提供档案总库存门禁</w:t>
      </w:r>
      <w:r>
        <w:rPr>
          <w:sz w:val="20"/>
        </w:rPr>
        <w:t>RFID</w:t>
      </w:r>
      <w:r>
        <w:rPr>
          <w:sz w:val="20"/>
        </w:rPr>
        <w:t>的自动数据采集设备，自动生成出入库的数据。项目结束后</w:t>
      </w:r>
      <w:r>
        <w:rPr>
          <w:sz w:val="20"/>
        </w:rPr>
        <w:t>RFID</w:t>
      </w:r>
      <w:r>
        <w:rPr>
          <w:sz w:val="20"/>
        </w:rPr>
        <w:t>数据归甲方所有，配合档案室做好相关数据的导出和导入。乙方所提供的</w:t>
      </w:r>
      <w:r>
        <w:rPr>
          <w:sz w:val="20"/>
        </w:rPr>
        <w:t>RFID</w:t>
      </w:r>
      <w:r>
        <w:rPr>
          <w:sz w:val="20"/>
        </w:rPr>
        <w:t>系统能与甲方现有</w:t>
      </w:r>
      <w:r>
        <w:rPr>
          <w:sz w:val="20"/>
        </w:rPr>
        <w:t>RFID</w:t>
      </w:r>
      <w:r>
        <w:rPr>
          <w:sz w:val="20"/>
        </w:rPr>
        <w:t>标签兼容，并能正常使用，最终达到</w:t>
      </w:r>
      <w:r>
        <w:rPr>
          <w:sz w:val="20"/>
        </w:rPr>
        <w:t>RFID</w:t>
      </w:r>
      <w:r>
        <w:rPr>
          <w:sz w:val="20"/>
        </w:rPr>
        <w:t>库房管理的功能。甲方不再为此付费。</w:t>
      </w:r>
    </w:p>
    <w:p>
      <w:pPr>
        <w:pStyle w:val="null3"/>
        <w:ind w:firstLine="400"/>
      </w:pPr>
      <w:r>
        <w:rPr>
          <w:sz w:val="20"/>
        </w:rPr>
        <w:t>甲方现有标签相关参数如下：</w:t>
      </w:r>
    </w:p>
    <w:tbl>
      <w:tblPr>
        <w:tblW w:w="0" w:type="auto"/>
        <w:tblBorders>
          <w:top w:val="none" w:color="000000" w:sz="4"/>
          <w:left w:val="none" w:color="000000" w:sz="4"/>
          <w:bottom w:val="none" w:color="000000" w:sz="4"/>
          <w:right w:val="none" w:color="000000" w:sz="4"/>
          <w:insideH w:val="none"/>
          <w:insideV w:val="none"/>
        </w:tblBorders>
      </w:tblPr>
      <w:tblGrid>
        <w:gridCol w:w="658"/>
        <w:gridCol w:w="1243"/>
        <w:gridCol w:w="6405"/>
      </w:tblGrid>
      <w:tr>
        <w:tc>
          <w:tcPr>
            <w:tcW w:type="dxa" w:w="6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名称</w:t>
            </w:r>
          </w:p>
        </w:tc>
        <w:tc>
          <w:tcPr>
            <w:tcW w:type="dxa" w:w="6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技术指标要求</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档案标签</w:t>
            </w:r>
          </w:p>
        </w:tc>
        <w:tc>
          <w:tcPr>
            <w:tcW w:type="dxa" w:w="6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材料：铜版纸</w:t>
            </w:r>
          </w:p>
          <w:p>
            <w:pPr>
              <w:pStyle w:val="null3"/>
              <w:jc w:val="both"/>
            </w:pPr>
            <w:r>
              <w:rPr>
                <w:sz w:val="21"/>
              </w:rPr>
              <w:t>环境参数</w:t>
            </w:r>
          </w:p>
          <w:p>
            <w:pPr>
              <w:pStyle w:val="null3"/>
              <w:jc w:val="both"/>
            </w:pPr>
            <w:r>
              <w:rPr>
                <w:sz w:val="21"/>
              </w:rPr>
              <w:t>极限工作条件：</w:t>
            </w:r>
            <w:r>
              <w:rPr>
                <w:sz w:val="21"/>
              </w:rPr>
              <w:t>-40</w:t>
            </w:r>
            <w:r>
              <w:rPr>
                <w:sz w:val="21"/>
              </w:rPr>
              <w:t>℃～</w:t>
            </w:r>
            <w:r>
              <w:rPr>
                <w:sz w:val="21"/>
              </w:rPr>
              <w:t>+85</w:t>
            </w:r>
            <w:r>
              <w:rPr>
                <w:sz w:val="21"/>
              </w:rPr>
              <w:t>℃</w:t>
            </w:r>
            <w:r>
              <w:rPr>
                <w:sz w:val="21"/>
              </w:rPr>
              <w:t>/20%</w:t>
            </w:r>
            <w:r>
              <w:rPr>
                <w:sz w:val="21"/>
              </w:rPr>
              <w:t>～</w:t>
            </w:r>
            <w:r>
              <w:rPr>
                <w:sz w:val="21"/>
              </w:rPr>
              <w:t>90%RH</w:t>
            </w:r>
          </w:p>
          <w:p>
            <w:pPr>
              <w:pStyle w:val="null3"/>
              <w:jc w:val="both"/>
            </w:pPr>
            <w:r>
              <w:rPr>
                <w:sz w:val="21"/>
              </w:rPr>
              <w:t>建议工作条件：</w:t>
            </w:r>
            <w:r>
              <w:rPr>
                <w:sz w:val="21"/>
              </w:rPr>
              <w:t>-10</w:t>
            </w:r>
            <w:r>
              <w:rPr>
                <w:sz w:val="21"/>
              </w:rPr>
              <w:t>℃～</w:t>
            </w:r>
            <w:r>
              <w:rPr>
                <w:sz w:val="21"/>
              </w:rPr>
              <w:t>+70</w:t>
            </w:r>
            <w:r>
              <w:rPr>
                <w:sz w:val="21"/>
              </w:rPr>
              <w:t>℃</w:t>
            </w:r>
            <w:r>
              <w:rPr>
                <w:sz w:val="21"/>
              </w:rPr>
              <w:t>/20%</w:t>
            </w:r>
            <w:r>
              <w:rPr>
                <w:sz w:val="21"/>
              </w:rPr>
              <w:t>～</w:t>
            </w:r>
            <w:r>
              <w:rPr>
                <w:sz w:val="21"/>
              </w:rPr>
              <w:t>90%RH</w:t>
            </w:r>
          </w:p>
          <w:p>
            <w:pPr>
              <w:pStyle w:val="null3"/>
              <w:jc w:val="both"/>
            </w:pPr>
            <w:r>
              <w:rPr>
                <w:sz w:val="21"/>
              </w:rPr>
              <w:t>极限储存条件：</w:t>
            </w:r>
            <w:r>
              <w:rPr>
                <w:sz w:val="21"/>
              </w:rPr>
              <w:t>-20</w:t>
            </w:r>
            <w:r>
              <w:rPr>
                <w:sz w:val="21"/>
              </w:rPr>
              <w:t>℃～</w:t>
            </w:r>
            <w:r>
              <w:rPr>
                <w:sz w:val="21"/>
              </w:rPr>
              <w:t>+70</w:t>
            </w:r>
            <w:r>
              <w:rPr>
                <w:sz w:val="21"/>
              </w:rPr>
              <w:t>℃</w:t>
            </w:r>
            <w:r>
              <w:rPr>
                <w:sz w:val="21"/>
              </w:rPr>
              <w:t>/20%</w:t>
            </w:r>
            <w:r>
              <w:rPr>
                <w:sz w:val="21"/>
              </w:rPr>
              <w:t>～</w:t>
            </w:r>
            <w:r>
              <w:rPr>
                <w:sz w:val="21"/>
              </w:rPr>
              <w:t>90%RH</w:t>
            </w:r>
          </w:p>
          <w:p>
            <w:pPr>
              <w:pStyle w:val="null3"/>
              <w:jc w:val="both"/>
            </w:pPr>
            <w:r>
              <w:rPr>
                <w:sz w:val="21"/>
              </w:rPr>
              <w:t>建议储存条件：</w:t>
            </w:r>
            <w:r>
              <w:rPr>
                <w:sz w:val="21"/>
              </w:rPr>
              <w:t>+25</w:t>
            </w:r>
            <w:r>
              <w:rPr>
                <w:sz w:val="21"/>
              </w:rPr>
              <w:t>℃±</w:t>
            </w:r>
            <w:r>
              <w:rPr>
                <w:sz w:val="21"/>
              </w:rPr>
              <w:t>2</w:t>
            </w:r>
            <w:r>
              <w:rPr>
                <w:sz w:val="21"/>
              </w:rPr>
              <w:t>℃</w:t>
            </w:r>
            <w:r>
              <w:rPr>
                <w:sz w:val="21"/>
              </w:rPr>
              <w:t>/65% RH</w:t>
            </w:r>
          </w:p>
          <w:p>
            <w:pPr>
              <w:pStyle w:val="null3"/>
              <w:jc w:val="both"/>
            </w:pPr>
            <w:r>
              <w:rPr>
                <w:sz w:val="21"/>
              </w:rPr>
              <w:t>性能参数</w:t>
            </w:r>
          </w:p>
          <w:p>
            <w:pPr>
              <w:pStyle w:val="null3"/>
              <w:jc w:val="both"/>
            </w:pPr>
            <w:r>
              <w:rPr>
                <w:sz w:val="21"/>
              </w:rPr>
              <w:t>工作频段：</w:t>
            </w:r>
            <w:r>
              <w:rPr>
                <w:sz w:val="21"/>
              </w:rPr>
              <w:t>840-960MHz</w:t>
            </w:r>
          </w:p>
          <w:p>
            <w:pPr>
              <w:pStyle w:val="null3"/>
              <w:jc w:val="both"/>
            </w:pPr>
            <w:r>
              <w:rPr>
                <w:sz w:val="21"/>
              </w:rPr>
              <w:t>支持标准：</w:t>
            </w:r>
            <w:r>
              <w:rPr>
                <w:sz w:val="21"/>
              </w:rPr>
              <w:t xml:space="preserve">EPCglobal C1 Gen2 </w:t>
            </w:r>
            <w:r>
              <w:rPr>
                <w:sz w:val="21"/>
              </w:rPr>
              <w:t>与</w:t>
            </w:r>
            <w:r>
              <w:rPr>
                <w:sz w:val="21"/>
              </w:rPr>
              <w:t>ISO18000-6C</w:t>
            </w:r>
          </w:p>
          <w:p>
            <w:pPr>
              <w:pStyle w:val="null3"/>
              <w:jc w:val="both"/>
            </w:pPr>
            <w:r>
              <w:rPr>
                <w:sz w:val="21"/>
              </w:rPr>
              <w:t>读取距离：</w:t>
            </w:r>
            <w:r>
              <w:rPr>
                <w:sz w:val="21"/>
              </w:rPr>
              <w:t>0m</w:t>
            </w:r>
            <w:r>
              <w:rPr>
                <w:sz w:val="21"/>
              </w:rPr>
              <w:t>～</w:t>
            </w:r>
            <w:r>
              <w:rPr>
                <w:sz w:val="21"/>
              </w:rPr>
              <w:t>8m</w:t>
            </w:r>
            <w:r>
              <w:rPr>
                <w:sz w:val="21"/>
              </w:rPr>
              <w:t>（与配置情况相关）</w:t>
            </w:r>
          </w:p>
          <w:p>
            <w:pPr>
              <w:pStyle w:val="null3"/>
              <w:jc w:val="both"/>
            </w:pPr>
            <w:r>
              <w:rPr>
                <w:sz w:val="21"/>
              </w:rPr>
              <w:t>写入距离：</w:t>
            </w:r>
            <w:r>
              <w:rPr>
                <w:sz w:val="21"/>
              </w:rPr>
              <w:t>0m</w:t>
            </w:r>
            <w:r>
              <w:rPr>
                <w:sz w:val="21"/>
              </w:rPr>
              <w:t>～</w:t>
            </w:r>
            <w:r>
              <w:rPr>
                <w:sz w:val="21"/>
              </w:rPr>
              <w:t>4m</w:t>
            </w:r>
            <w:r>
              <w:rPr>
                <w:sz w:val="21"/>
              </w:rPr>
              <w:t>（与配置情况相关）</w:t>
            </w:r>
          </w:p>
          <w:p>
            <w:pPr>
              <w:pStyle w:val="null3"/>
              <w:jc w:val="both"/>
            </w:pPr>
            <w:r>
              <w:rPr>
                <w:sz w:val="21"/>
              </w:rPr>
              <w:t>工作模式：读写</w:t>
            </w:r>
          </w:p>
          <w:p>
            <w:pPr>
              <w:pStyle w:val="null3"/>
              <w:jc w:val="both"/>
            </w:pPr>
            <w:r>
              <w:rPr>
                <w:sz w:val="21"/>
              </w:rPr>
              <w:t>极化方式：线极化</w:t>
            </w:r>
          </w:p>
          <w:p>
            <w:pPr>
              <w:pStyle w:val="null3"/>
              <w:jc w:val="both"/>
            </w:pPr>
            <w:r>
              <w:rPr>
                <w:sz w:val="21"/>
              </w:rPr>
              <w:t>防冲突：支持多标签读取</w:t>
            </w:r>
          </w:p>
          <w:p>
            <w:pPr>
              <w:pStyle w:val="null3"/>
              <w:jc w:val="both"/>
            </w:pPr>
            <w:r>
              <w:rPr>
                <w:sz w:val="21"/>
              </w:rPr>
              <w:t>数据保存：</w:t>
            </w:r>
            <w:r>
              <w:rPr>
                <w:sz w:val="21"/>
              </w:rPr>
              <w:t xml:space="preserve">50 </w:t>
            </w:r>
            <w:r>
              <w:rPr>
                <w:sz w:val="21"/>
              </w:rPr>
              <w:t>年及以上</w:t>
            </w:r>
          </w:p>
          <w:p>
            <w:pPr>
              <w:pStyle w:val="null3"/>
              <w:jc w:val="both"/>
            </w:pPr>
            <w:r>
              <w:rPr>
                <w:sz w:val="21"/>
              </w:rPr>
              <w:t>擦写次数：</w:t>
            </w:r>
            <w:r>
              <w:rPr>
                <w:sz w:val="21"/>
              </w:rPr>
              <w:t xml:space="preserve">10 </w:t>
            </w:r>
            <w:r>
              <w:rPr>
                <w:sz w:val="21"/>
              </w:rPr>
              <w:t>万次及以上</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档案架标签</w:t>
            </w:r>
          </w:p>
        </w:tc>
        <w:tc>
          <w:tcPr>
            <w:tcW w:type="dxa" w:w="6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封装材质：</w:t>
            </w:r>
            <w:r>
              <w:rPr>
                <w:sz w:val="21"/>
              </w:rPr>
              <w:t>ABS+</w:t>
            </w:r>
            <w:r>
              <w:rPr>
                <w:sz w:val="21"/>
              </w:rPr>
              <w:t>水晶滴胶</w:t>
            </w:r>
            <w:r>
              <w:rPr>
                <w:sz w:val="21"/>
              </w:rPr>
              <w:t>+</w:t>
            </w:r>
            <w:r>
              <w:rPr>
                <w:sz w:val="21"/>
              </w:rPr>
              <w:t>抗金属材料</w:t>
            </w:r>
          </w:p>
          <w:p>
            <w:pPr>
              <w:pStyle w:val="null3"/>
              <w:jc w:val="both"/>
            </w:pPr>
            <w:r>
              <w:rPr>
                <w:sz w:val="21"/>
              </w:rPr>
              <w:t>环境参数：</w:t>
            </w:r>
          </w:p>
          <w:p>
            <w:pPr>
              <w:pStyle w:val="null3"/>
              <w:jc w:val="both"/>
            </w:pPr>
            <w:r>
              <w:rPr>
                <w:sz w:val="21"/>
              </w:rPr>
              <w:t>建议工作温度：</w:t>
            </w:r>
            <w:r>
              <w:rPr>
                <w:sz w:val="21"/>
              </w:rPr>
              <w:t>-20</w:t>
            </w:r>
            <w:r>
              <w:rPr>
                <w:sz w:val="21"/>
              </w:rPr>
              <w:t>～</w:t>
            </w:r>
            <w:r>
              <w:rPr>
                <w:sz w:val="21"/>
              </w:rPr>
              <w:t>+65</w:t>
            </w:r>
            <w:r>
              <w:rPr>
                <w:sz w:val="21"/>
              </w:rPr>
              <w:t>°</w:t>
            </w:r>
            <w:r>
              <w:rPr>
                <w:sz w:val="21"/>
              </w:rPr>
              <w:t>C</w:t>
            </w:r>
          </w:p>
          <w:p>
            <w:pPr>
              <w:pStyle w:val="null3"/>
              <w:jc w:val="both"/>
            </w:pPr>
            <w:r>
              <w:rPr>
                <w:sz w:val="21"/>
              </w:rPr>
              <w:t>极限工作温度：</w:t>
            </w:r>
            <w:r>
              <w:rPr>
                <w:sz w:val="21"/>
              </w:rPr>
              <w:t>-40</w:t>
            </w:r>
            <w:r>
              <w:rPr>
                <w:sz w:val="21"/>
              </w:rPr>
              <w:t>～</w:t>
            </w:r>
            <w:r>
              <w:rPr>
                <w:sz w:val="21"/>
              </w:rPr>
              <w:t>+85</w:t>
            </w:r>
            <w:r>
              <w:rPr>
                <w:sz w:val="21"/>
              </w:rPr>
              <w:t>°</w:t>
            </w:r>
            <w:r>
              <w:rPr>
                <w:sz w:val="21"/>
              </w:rPr>
              <w:t>C</w:t>
            </w:r>
          </w:p>
          <w:p>
            <w:pPr>
              <w:pStyle w:val="null3"/>
              <w:jc w:val="both"/>
            </w:pPr>
            <w:r>
              <w:rPr>
                <w:sz w:val="21"/>
              </w:rPr>
              <w:t>贮存条件：</w:t>
            </w:r>
            <w:r>
              <w:rPr>
                <w:sz w:val="21"/>
              </w:rPr>
              <w:t>-20</w:t>
            </w:r>
            <w:r>
              <w:rPr>
                <w:sz w:val="21"/>
              </w:rPr>
              <w:t>～</w:t>
            </w:r>
            <w:r>
              <w:rPr>
                <w:sz w:val="21"/>
              </w:rPr>
              <w:t>+65</w:t>
            </w:r>
            <w:r>
              <w:rPr>
                <w:sz w:val="21"/>
              </w:rPr>
              <w:t>°</w:t>
            </w:r>
            <w:r>
              <w:rPr>
                <w:sz w:val="21"/>
              </w:rPr>
              <w:t>C/40%</w:t>
            </w:r>
            <w:r>
              <w:rPr>
                <w:sz w:val="21"/>
              </w:rPr>
              <w:t>～</w:t>
            </w:r>
            <w:r>
              <w:rPr>
                <w:sz w:val="21"/>
              </w:rPr>
              <w:t>70%RH</w:t>
            </w:r>
          </w:p>
          <w:p>
            <w:pPr>
              <w:pStyle w:val="null3"/>
              <w:jc w:val="both"/>
            </w:pPr>
            <w:r>
              <w:rPr>
                <w:sz w:val="21"/>
              </w:rPr>
              <w:t>性能参数：</w:t>
            </w:r>
          </w:p>
          <w:p>
            <w:pPr>
              <w:pStyle w:val="null3"/>
              <w:jc w:val="both"/>
            </w:pPr>
            <w:r>
              <w:rPr>
                <w:sz w:val="21"/>
              </w:rPr>
              <w:t>工作频段：</w:t>
            </w:r>
            <w:r>
              <w:rPr>
                <w:sz w:val="21"/>
              </w:rPr>
              <w:t>902MHz</w:t>
            </w:r>
            <w:r>
              <w:rPr>
                <w:sz w:val="21"/>
              </w:rPr>
              <w:t>～</w:t>
            </w:r>
            <w:r>
              <w:rPr>
                <w:sz w:val="21"/>
              </w:rPr>
              <w:t>928MHz</w:t>
            </w:r>
          </w:p>
          <w:p>
            <w:pPr>
              <w:pStyle w:val="null3"/>
              <w:jc w:val="both"/>
            </w:pPr>
            <w:r>
              <w:rPr>
                <w:sz w:val="21"/>
              </w:rPr>
              <w:t>符合标准：</w:t>
            </w:r>
            <w:r>
              <w:rPr>
                <w:sz w:val="21"/>
              </w:rPr>
              <w:t>ISO18000-6C/EPC-global C1G2</w:t>
            </w:r>
          </w:p>
          <w:p>
            <w:pPr>
              <w:pStyle w:val="null3"/>
              <w:jc w:val="both"/>
            </w:pPr>
            <w:r>
              <w:rPr>
                <w:sz w:val="21"/>
              </w:rPr>
              <w:t>工作模式：读</w:t>
            </w:r>
            <w:r>
              <w:rPr>
                <w:sz w:val="21"/>
              </w:rPr>
              <w:t>/</w:t>
            </w:r>
            <w:r>
              <w:rPr>
                <w:sz w:val="21"/>
              </w:rPr>
              <w:t>写</w:t>
            </w:r>
          </w:p>
          <w:p>
            <w:pPr>
              <w:pStyle w:val="null3"/>
              <w:jc w:val="both"/>
            </w:pPr>
            <w:r>
              <w:rPr>
                <w:sz w:val="21"/>
              </w:rPr>
              <w:t xml:space="preserve">TID </w:t>
            </w:r>
            <w:r>
              <w:rPr>
                <w:sz w:val="21"/>
              </w:rPr>
              <w:t>码：</w:t>
            </w:r>
            <w:r>
              <w:rPr>
                <w:sz w:val="21"/>
              </w:rPr>
              <w:t xml:space="preserve">96 </w:t>
            </w:r>
            <w:r>
              <w:rPr>
                <w:sz w:val="21"/>
              </w:rPr>
              <w:t>位</w:t>
            </w:r>
          </w:p>
          <w:p>
            <w:pPr>
              <w:pStyle w:val="null3"/>
              <w:jc w:val="both"/>
            </w:pPr>
            <w:r>
              <w:rPr>
                <w:sz w:val="21"/>
              </w:rPr>
              <w:t xml:space="preserve">EPC </w:t>
            </w:r>
            <w:r>
              <w:rPr>
                <w:sz w:val="21"/>
              </w:rPr>
              <w:t>码：</w:t>
            </w:r>
            <w:r>
              <w:rPr>
                <w:sz w:val="21"/>
              </w:rPr>
              <w:t xml:space="preserve">96 </w:t>
            </w:r>
            <w:r>
              <w:rPr>
                <w:sz w:val="21"/>
              </w:rPr>
              <w:t>位</w:t>
            </w:r>
          </w:p>
          <w:p>
            <w:pPr>
              <w:pStyle w:val="null3"/>
              <w:jc w:val="both"/>
            </w:pPr>
            <w:r>
              <w:rPr>
                <w:sz w:val="21"/>
              </w:rPr>
              <w:t>用户数据区：无</w:t>
            </w:r>
          </w:p>
          <w:p>
            <w:pPr>
              <w:pStyle w:val="null3"/>
              <w:jc w:val="both"/>
            </w:pPr>
            <w:r>
              <w:rPr>
                <w:sz w:val="21"/>
              </w:rPr>
              <w:t>读距离：</w:t>
            </w:r>
            <w:r>
              <w:rPr>
                <w:sz w:val="21"/>
              </w:rPr>
              <w:t>0-6m</w:t>
            </w:r>
            <w:r>
              <w:rPr>
                <w:sz w:val="21"/>
              </w:rPr>
              <w:t>（视读写器与天线配置而定）</w:t>
            </w:r>
          </w:p>
          <w:p>
            <w:pPr>
              <w:pStyle w:val="null3"/>
              <w:jc w:val="both"/>
            </w:pPr>
            <w:r>
              <w:rPr>
                <w:sz w:val="21"/>
              </w:rPr>
              <w:t>写距离：</w:t>
            </w:r>
            <w:r>
              <w:rPr>
                <w:sz w:val="21"/>
              </w:rPr>
              <w:t>0-2m</w:t>
            </w:r>
            <w:r>
              <w:rPr>
                <w:sz w:val="21"/>
              </w:rPr>
              <w:t>（视读写器与天线配置而定）</w:t>
            </w:r>
          </w:p>
          <w:p>
            <w:pPr>
              <w:pStyle w:val="null3"/>
              <w:jc w:val="both"/>
            </w:pPr>
            <w:r>
              <w:rPr>
                <w:sz w:val="21"/>
              </w:rPr>
              <w:t xml:space="preserve">IP </w:t>
            </w:r>
            <w:r>
              <w:rPr>
                <w:sz w:val="21"/>
              </w:rPr>
              <w:t>等级：</w:t>
            </w:r>
            <w:r>
              <w:rPr>
                <w:sz w:val="21"/>
              </w:rPr>
              <w:t>IP68</w:t>
            </w:r>
          </w:p>
          <w:p>
            <w:pPr>
              <w:pStyle w:val="null3"/>
              <w:jc w:val="both"/>
            </w:pPr>
            <w:r>
              <w:rPr>
                <w:sz w:val="21"/>
              </w:rPr>
              <w:t>数据保持时间：</w:t>
            </w:r>
            <w:r>
              <w:rPr>
                <w:sz w:val="21"/>
              </w:rPr>
              <w:t xml:space="preserve">10 </w:t>
            </w:r>
            <w:r>
              <w:rPr>
                <w:sz w:val="21"/>
              </w:rPr>
              <w:t>年及以上</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桌面读写器</w:t>
            </w:r>
          </w:p>
        </w:tc>
        <w:tc>
          <w:tcPr>
            <w:tcW w:type="dxa" w:w="6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物理参数</w:t>
            </w:r>
          </w:p>
          <w:p>
            <w:pPr>
              <w:pStyle w:val="null3"/>
              <w:jc w:val="both"/>
            </w:pPr>
            <w:r>
              <w:rPr>
                <w:sz w:val="21"/>
              </w:rPr>
              <w:t>天线：根据应用选择天线，默认为</w:t>
            </w:r>
            <w:r>
              <w:rPr>
                <w:sz w:val="21"/>
              </w:rPr>
              <w:t>PCB</w:t>
            </w:r>
            <w:r>
              <w:rPr>
                <w:sz w:val="21"/>
              </w:rPr>
              <w:t>近场天线</w:t>
            </w:r>
          </w:p>
          <w:p>
            <w:pPr>
              <w:pStyle w:val="null3"/>
              <w:jc w:val="both"/>
            </w:pPr>
            <w:r>
              <w:rPr>
                <w:sz w:val="21"/>
              </w:rPr>
              <w:t>外壳：金属底壳</w:t>
            </w:r>
            <w:r>
              <w:rPr>
                <w:sz w:val="21"/>
              </w:rPr>
              <w:t>+</w:t>
            </w:r>
            <w:r>
              <w:rPr>
                <w:sz w:val="21"/>
              </w:rPr>
              <w:t>钢化玻璃面板</w:t>
            </w:r>
          </w:p>
          <w:p>
            <w:pPr>
              <w:pStyle w:val="null3"/>
              <w:jc w:val="both"/>
            </w:pPr>
            <w:r>
              <w:rPr>
                <w:sz w:val="21"/>
              </w:rPr>
              <w:t>性能参数</w:t>
            </w:r>
          </w:p>
          <w:p>
            <w:pPr>
              <w:pStyle w:val="null3"/>
              <w:jc w:val="both"/>
            </w:pPr>
            <w:r>
              <w:rPr>
                <w:sz w:val="21"/>
              </w:rPr>
              <w:t>协议支持：</w:t>
            </w:r>
            <w:r>
              <w:rPr>
                <w:sz w:val="21"/>
              </w:rPr>
              <w:t>EPCglobal C1 Gen 2 ISO 18000-6C</w:t>
            </w:r>
          </w:p>
          <w:p>
            <w:pPr>
              <w:pStyle w:val="null3"/>
              <w:jc w:val="both"/>
            </w:pPr>
            <w:r>
              <w:rPr>
                <w:sz w:val="21"/>
              </w:rPr>
              <w:t>频率支持：</w:t>
            </w:r>
            <w:r>
              <w:rPr>
                <w:sz w:val="21"/>
              </w:rPr>
              <w:t>865~868MHz/902</w:t>
            </w:r>
            <w:r>
              <w:rPr>
                <w:sz w:val="21"/>
              </w:rPr>
              <w:t>～</w:t>
            </w:r>
            <w:r>
              <w:rPr>
                <w:sz w:val="21"/>
              </w:rPr>
              <w:t>928MHz</w:t>
            </w:r>
            <w:r>
              <w:rPr>
                <w:sz w:val="21"/>
              </w:rPr>
              <w:t>（可以按不同国家或地区调整）</w:t>
            </w:r>
          </w:p>
          <w:p>
            <w:pPr>
              <w:pStyle w:val="null3"/>
              <w:jc w:val="both"/>
            </w:pPr>
            <w:r>
              <w:rPr>
                <w:sz w:val="21"/>
              </w:rPr>
              <w:t>跳频方式：以广谱跳频（</w:t>
            </w:r>
            <w:r>
              <w:rPr>
                <w:sz w:val="21"/>
              </w:rPr>
              <w:t>FHSS</w:t>
            </w:r>
            <w:r>
              <w:rPr>
                <w:sz w:val="21"/>
              </w:rPr>
              <w:t>）或定频发射方式工作</w:t>
            </w:r>
          </w:p>
          <w:p>
            <w:pPr>
              <w:pStyle w:val="null3"/>
              <w:jc w:val="both"/>
            </w:pPr>
            <w:r>
              <w:rPr>
                <w:sz w:val="21"/>
              </w:rPr>
              <w:t xml:space="preserve">RFID </w:t>
            </w:r>
            <w:r>
              <w:rPr>
                <w:sz w:val="21"/>
              </w:rPr>
              <w:t>读取速度：多标签识别性能＞</w:t>
            </w:r>
            <w:r>
              <w:rPr>
                <w:sz w:val="21"/>
              </w:rPr>
              <w:t>50</w:t>
            </w:r>
            <w:r>
              <w:rPr>
                <w:sz w:val="21"/>
              </w:rPr>
              <w:t>张标签</w:t>
            </w:r>
          </w:p>
          <w:p>
            <w:pPr>
              <w:pStyle w:val="null3"/>
              <w:jc w:val="both"/>
            </w:pPr>
            <w:r>
              <w:rPr>
                <w:sz w:val="21"/>
              </w:rPr>
              <w:t xml:space="preserve">RFID </w:t>
            </w:r>
            <w:r>
              <w:rPr>
                <w:sz w:val="21"/>
              </w:rPr>
              <w:t>读写功率：输出功率软件可调，步进间隔±</w:t>
            </w:r>
            <w:r>
              <w:rPr>
                <w:sz w:val="21"/>
              </w:rPr>
              <w:t>1db</w:t>
            </w:r>
            <w:r>
              <w:rPr>
                <w:sz w:val="21"/>
              </w:rPr>
              <w:t>，最大</w:t>
            </w:r>
            <w:r>
              <w:rPr>
                <w:sz w:val="21"/>
              </w:rPr>
              <w:t>26dbm</w:t>
            </w:r>
          </w:p>
          <w:p>
            <w:pPr>
              <w:pStyle w:val="null3"/>
              <w:jc w:val="both"/>
            </w:pPr>
            <w:r>
              <w:rPr>
                <w:sz w:val="21"/>
              </w:rPr>
              <w:t>标签缓存：</w:t>
            </w:r>
            <w:r>
              <w:rPr>
                <w:sz w:val="21"/>
              </w:rPr>
              <w:t>330</w:t>
            </w:r>
            <w:r>
              <w:rPr>
                <w:sz w:val="21"/>
              </w:rPr>
              <w:t>张及以上</w:t>
            </w:r>
            <w:r>
              <w:rPr>
                <w:sz w:val="21"/>
              </w:rPr>
              <w:t>@</w:t>
            </w:r>
            <w:r>
              <w:rPr>
                <w:sz w:val="21"/>
              </w:rPr>
              <w:t>最长</w:t>
            </w:r>
            <w:r>
              <w:rPr>
                <w:sz w:val="21"/>
              </w:rPr>
              <w:t>128bitsEPC</w:t>
            </w:r>
            <w:r>
              <w:rPr>
                <w:sz w:val="21"/>
              </w:rPr>
              <w:t>或</w:t>
            </w:r>
            <w:r>
              <w:rPr>
                <w:sz w:val="21"/>
              </w:rPr>
              <w:t>100</w:t>
            </w:r>
            <w:r>
              <w:rPr>
                <w:sz w:val="21"/>
              </w:rPr>
              <w:t>张</w:t>
            </w:r>
            <w:r>
              <w:rPr>
                <w:sz w:val="21"/>
              </w:rPr>
              <w:t>@</w:t>
            </w:r>
            <w:r>
              <w:rPr>
                <w:sz w:val="21"/>
              </w:rPr>
              <w:t>最长</w:t>
            </w:r>
            <w:r>
              <w:rPr>
                <w:sz w:val="21"/>
              </w:rPr>
              <w:t>496bitsEPC</w:t>
            </w:r>
          </w:p>
          <w:p>
            <w:pPr>
              <w:pStyle w:val="null3"/>
              <w:jc w:val="both"/>
            </w:pPr>
            <w:r>
              <w:rPr>
                <w:sz w:val="21"/>
              </w:rPr>
              <w:t xml:space="preserve">RSSI </w:t>
            </w:r>
            <w:r>
              <w:rPr>
                <w:sz w:val="21"/>
              </w:rPr>
              <w:t>强度检测：支持</w:t>
            </w:r>
          </w:p>
          <w:p>
            <w:pPr>
              <w:pStyle w:val="null3"/>
              <w:jc w:val="both"/>
            </w:pPr>
            <w:r>
              <w:rPr>
                <w:sz w:val="21"/>
              </w:rPr>
              <w:t>通讯接口：</w:t>
            </w:r>
            <w:r>
              <w:rPr>
                <w:sz w:val="21"/>
              </w:rPr>
              <w:t xml:space="preserve">"USB </w:t>
            </w:r>
            <w:r>
              <w:rPr>
                <w:sz w:val="21"/>
              </w:rPr>
              <w:t>免驱</w:t>
            </w:r>
            <w:r>
              <w:rPr>
                <w:sz w:val="21"/>
              </w:rPr>
              <w:t xml:space="preserve">Type-C </w:t>
            </w:r>
            <w:r>
              <w:rPr>
                <w:sz w:val="21"/>
              </w:rPr>
              <w:t>数据接口，支持</w:t>
            </w:r>
            <w:r>
              <w:rPr>
                <w:sz w:val="21"/>
              </w:rPr>
              <w:t>USB HID</w:t>
            </w:r>
            <w:r>
              <w:rPr>
                <w:sz w:val="21"/>
              </w:rPr>
              <w:t>仿真键盘（可选）接口</w:t>
            </w:r>
            <w:r>
              <w:rPr>
                <w:sz w:val="21"/>
              </w:rPr>
              <w:t>"</w:t>
            </w:r>
          </w:p>
          <w:p>
            <w:pPr>
              <w:pStyle w:val="null3"/>
              <w:jc w:val="both"/>
            </w:pPr>
            <w:r>
              <w:rPr>
                <w:sz w:val="21"/>
              </w:rPr>
              <w:t>指示灯：电子标签操作指示灯、电源灯、通讯灯</w:t>
            </w:r>
          </w:p>
          <w:p>
            <w:pPr>
              <w:pStyle w:val="null3"/>
              <w:jc w:val="both"/>
            </w:pPr>
            <w:r>
              <w:rPr>
                <w:sz w:val="21"/>
              </w:rPr>
              <w:t>认证：</w:t>
            </w:r>
            <w:r>
              <w:rPr>
                <w:sz w:val="21"/>
              </w:rPr>
              <w:t>ROHS</w:t>
            </w:r>
            <w:r>
              <w:rPr>
                <w:sz w:val="21"/>
              </w:rPr>
              <w:t>、</w:t>
            </w:r>
            <w:r>
              <w:rPr>
                <w:sz w:val="21"/>
              </w:rPr>
              <w:t>FCC</w:t>
            </w:r>
          </w:p>
          <w:p>
            <w:pPr>
              <w:pStyle w:val="null3"/>
              <w:jc w:val="both"/>
            </w:pPr>
            <w:r>
              <w:rPr>
                <w:sz w:val="21"/>
              </w:rPr>
              <w:t>环境参数</w:t>
            </w:r>
          </w:p>
          <w:p>
            <w:pPr>
              <w:pStyle w:val="null3"/>
              <w:jc w:val="both"/>
            </w:pPr>
            <w:r>
              <w:rPr>
                <w:sz w:val="21"/>
              </w:rPr>
              <w:t>工作温度：</w:t>
            </w:r>
            <w:r>
              <w:rPr>
                <w:sz w:val="21"/>
              </w:rPr>
              <w:t>-20</w:t>
            </w:r>
            <w:r>
              <w:rPr>
                <w:sz w:val="21"/>
              </w:rPr>
              <w:t>～</w:t>
            </w:r>
            <w:r>
              <w:rPr>
                <w:sz w:val="21"/>
              </w:rPr>
              <w:t>+70</w:t>
            </w:r>
            <w:r>
              <w:rPr>
                <w:sz w:val="21"/>
              </w:rPr>
              <w:t>℃</w:t>
            </w:r>
          </w:p>
          <w:p>
            <w:pPr>
              <w:pStyle w:val="null3"/>
              <w:jc w:val="both"/>
            </w:pPr>
            <w:r>
              <w:rPr>
                <w:sz w:val="21"/>
              </w:rPr>
              <w:t>存储温度：</w:t>
            </w:r>
            <w:r>
              <w:rPr>
                <w:sz w:val="21"/>
              </w:rPr>
              <w:t>-20</w:t>
            </w:r>
            <w:r>
              <w:rPr>
                <w:sz w:val="21"/>
              </w:rPr>
              <w:t>～</w:t>
            </w:r>
            <w:r>
              <w:rPr>
                <w:sz w:val="21"/>
              </w:rPr>
              <w:t>+85</w:t>
            </w:r>
            <w:r>
              <w:rPr>
                <w:sz w:val="21"/>
              </w:rPr>
              <w:t>℃</w:t>
            </w:r>
          </w:p>
          <w:p>
            <w:pPr>
              <w:pStyle w:val="null3"/>
              <w:jc w:val="both"/>
            </w:pPr>
            <w:r>
              <w:rPr>
                <w:sz w:val="21"/>
              </w:rPr>
              <w:t>工作湿度：</w:t>
            </w:r>
            <w:r>
              <w:rPr>
                <w:sz w:val="21"/>
              </w:rPr>
              <w:t>5%</w:t>
            </w:r>
            <w:r>
              <w:rPr>
                <w:sz w:val="21"/>
              </w:rPr>
              <w:t>～</w:t>
            </w:r>
            <w:r>
              <w:rPr>
                <w:sz w:val="21"/>
              </w:rPr>
              <w:t>95%RH</w:t>
            </w:r>
            <w:r>
              <w:rPr>
                <w:sz w:val="21"/>
              </w:rPr>
              <w:t>，无凝露</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RFID</w:t>
            </w:r>
            <w:r>
              <w:rPr>
                <w:sz w:val="21"/>
              </w:rPr>
              <w:t>手持机</w:t>
            </w:r>
            <w:r>
              <w:rPr>
                <w:sz w:val="21"/>
              </w:rPr>
              <w:t>+</w:t>
            </w:r>
            <w:r>
              <w:rPr>
                <w:sz w:val="21"/>
              </w:rPr>
              <w:t>二维条码模块</w:t>
            </w:r>
          </w:p>
        </w:tc>
        <w:tc>
          <w:tcPr>
            <w:tcW w:type="dxa" w:w="6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r>
              <w:rPr>
                <w:sz w:val="21"/>
              </w:rPr>
              <w:t>：</w:t>
            </w:r>
            <w:r>
              <w:rPr>
                <w:sz w:val="21"/>
              </w:rPr>
              <w:t>Cortex</w:t>
            </w:r>
            <w:r>
              <w:rPr>
                <w:sz w:val="21"/>
              </w:rPr>
              <w:t>™</w:t>
            </w:r>
            <w:r>
              <w:rPr>
                <w:sz w:val="21"/>
              </w:rPr>
              <w:t xml:space="preserve">-A53 </w:t>
            </w:r>
            <w:r>
              <w:rPr>
                <w:sz w:val="21"/>
              </w:rPr>
              <w:t>八核</w:t>
            </w:r>
            <w:r>
              <w:rPr>
                <w:sz w:val="21"/>
              </w:rPr>
              <w:t xml:space="preserve">1.8 GHz </w:t>
            </w:r>
            <w:r>
              <w:rPr>
                <w:sz w:val="21"/>
              </w:rPr>
              <w:t>及以上</w:t>
            </w:r>
          </w:p>
          <w:p>
            <w:pPr>
              <w:pStyle w:val="null3"/>
              <w:jc w:val="both"/>
            </w:pPr>
            <w:r>
              <w:rPr>
                <w:sz w:val="21"/>
              </w:rPr>
              <w:t>RAM+ROM</w:t>
            </w:r>
            <w:r>
              <w:rPr>
                <w:sz w:val="21"/>
              </w:rPr>
              <w:t>：</w:t>
            </w:r>
            <w:r>
              <w:rPr>
                <w:sz w:val="21"/>
              </w:rPr>
              <w:t xml:space="preserve">4GB+64GB </w:t>
            </w:r>
            <w:r>
              <w:rPr>
                <w:sz w:val="21"/>
              </w:rPr>
              <w:t>及以上</w:t>
            </w:r>
          </w:p>
          <w:p>
            <w:pPr>
              <w:pStyle w:val="null3"/>
              <w:jc w:val="both"/>
            </w:pPr>
            <w:r>
              <w:rPr>
                <w:sz w:val="21"/>
              </w:rPr>
              <w:t>拓展内存：</w:t>
            </w:r>
            <w:r>
              <w:rPr>
                <w:sz w:val="21"/>
              </w:rPr>
              <w:t>MicroSD (TF)</w:t>
            </w:r>
            <w:r>
              <w:rPr>
                <w:sz w:val="21"/>
              </w:rPr>
              <w:t>卡可扩展至</w:t>
            </w:r>
            <w:r>
              <w:rPr>
                <w:sz w:val="21"/>
              </w:rPr>
              <w:t>128 GB</w:t>
            </w:r>
          </w:p>
          <w:p>
            <w:pPr>
              <w:pStyle w:val="null3"/>
              <w:jc w:val="both"/>
            </w:pPr>
            <w:r>
              <w:rPr>
                <w:sz w:val="21"/>
              </w:rPr>
              <w:t>操作系统：</w:t>
            </w:r>
            <w:r>
              <w:rPr>
                <w:sz w:val="21"/>
              </w:rPr>
              <w:t xml:space="preserve">Android9.0 </w:t>
            </w:r>
            <w:r>
              <w:rPr>
                <w:sz w:val="21"/>
              </w:rPr>
              <w:t>及以上</w:t>
            </w:r>
          </w:p>
          <w:p>
            <w:pPr>
              <w:pStyle w:val="null3"/>
              <w:jc w:val="both"/>
            </w:pPr>
            <w:r>
              <w:rPr>
                <w:sz w:val="21"/>
              </w:rPr>
              <w:t>WLAN</w:t>
            </w:r>
            <w:r>
              <w:rPr>
                <w:sz w:val="21"/>
              </w:rPr>
              <w:t>：支持</w:t>
            </w:r>
            <w:r>
              <w:rPr>
                <w:sz w:val="21"/>
              </w:rPr>
              <w:t xml:space="preserve">IEEE802.11 a/b/g/n </w:t>
            </w:r>
            <w:r>
              <w:rPr>
                <w:sz w:val="21"/>
              </w:rPr>
              <w:t>协议（</w:t>
            </w:r>
            <w:r>
              <w:rPr>
                <w:sz w:val="21"/>
              </w:rPr>
              <w:t xml:space="preserve">2.4G/5G </w:t>
            </w:r>
            <w:r>
              <w:rPr>
                <w:sz w:val="21"/>
              </w:rPr>
              <w:t>双频），内置天线</w:t>
            </w:r>
          </w:p>
          <w:p>
            <w:pPr>
              <w:pStyle w:val="null3"/>
              <w:jc w:val="both"/>
            </w:pPr>
            <w:r>
              <w:rPr>
                <w:sz w:val="21"/>
              </w:rPr>
              <w:t>WWAN</w:t>
            </w:r>
            <w:r>
              <w:rPr>
                <w:sz w:val="21"/>
              </w:rPr>
              <w:t>：</w:t>
            </w:r>
          </w:p>
          <w:p>
            <w:pPr>
              <w:pStyle w:val="null3"/>
              <w:jc w:val="both"/>
            </w:pPr>
            <w:r>
              <w:rPr>
                <w:sz w:val="21"/>
              </w:rPr>
              <w:t>2G: 900/1800 MHz</w:t>
            </w:r>
          </w:p>
          <w:p>
            <w:pPr>
              <w:pStyle w:val="null3"/>
              <w:jc w:val="both"/>
            </w:pPr>
            <w:r>
              <w:rPr>
                <w:sz w:val="21"/>
              </w:rPr>
              <w:t>3G: 900/1900/2000/2100MHz</w:t>
            </w:r>
          </w:p>
          <w:p>
            <w:pPr>
              <w:pStyle w:val="null3"/>
              <w:jc w:val="both"/>
            </w:pPr>
            <w:r>
              <w:rPr>
                <w:sz w:val="21"/>
              </w:rPr>
              <w:t>4G: TDD-LTE: B38/B39/B40/B41 FDD-LTE:</w:t>
            </w:r>
          </w:p>
          <w:p>
            <w:pPr>
              <w:pStyle w:val="null3"/>
              <w:jc w:val="both"/>
            </w:pPr>
            <w:r>
              <w:rPr>
                <w:sz w:val="21"/>
              </w:rPr>
              <w:t>B1/B3/B5</w:t>
            </w:r>
          </w:p>
          <w:p>
            <w:pPr>
              <w:pStyle w:val="null3"/>
              <w:jc w:val="both"/>
            </w:pPr>
            <w:r>
              <w:rPr>
                <w:sz w:val="21"/>
              </w:rPr>
              <w:t>蓝牙：</w:t>
            </w:r>
            <w:r>
              <w:rPr>
                <w:sz w:val="21"/>
              </w:rPr>
              <w:t xml:space="preserve">Bluetooth 4.0 </w:t>
            </w:r>
            <w:r>
              <w:rPr>
                <w:sz w:val="21"/>
              </w:rPr>
              <w:t>及以上</w:t>
            </w:r>
          </w:p>
          <w:p>
            <w:pPr>
              <w:pStyle w:val="null3"/>
              <w:jc w:val="both"/>
            </w:pPr>
            <w:r>
              <w:rPr>
                <w:sz w:val="21"/>
              </w:rPr>
              <w:t>工作温度：</w:t>
            </w:r>
            <w:r>
              <w:rPr>
                <w:sz w:val="21"/>
              </w:rPr>
              <w:t>-20</w:t>
            </w:r>
            <w:r>
              <w:rPr>
                <w:sz w:val="21"/>
              </w:rPr>
              <w:t>°</w:t>
            </w:r>
            <w:r>
              <w:rPr>
                <w:sz w:val="21"/>
              </w:rPr>
              <w:t xml:space="preserve">C </w:t>
            </w:r>
            <w:r>
              <w:rPr>
                <w:sz w:val="21"/>
              </w:rPr>
              <w:t>至</w:t>
            </w:r>
            <w:r>
              <w:rPr>
                <w:sz w:val="21"/>
              </w:rPr>
              <w:t>50</w:t>
            </w:r>
            <w:r>
              <w:rPr>
                <w:sz w:val="21"/>
              </w:rPr>
              <w:t>°</w:t>
            </w:r>
            <w:r>
              <w:rPr>
                <w:sz w:val="21"/>
              </w:rPr>
              <w:t>C</w:t>
            </w:r>
          </w:p>
          <w:p>
            <w:pPr>
              <w:pStyle w:val="null3"/>
              <w:jc w:val="both"/>
            </w:pPr>
            <w:r>
              <w:rPr>
                <w:sz w:val="21"/>
              </w:rPr>
              <w:t>储存温度：</w:t>
            </w:r>
            <w:r>
              <w:rPr>
                <w:sz w:val="21"/>
              </w:rPr>
              <w:t>-40</w:t>
            </w:r>
            <w:r>
              <w:rPr>
                <w:sz w:val="21"/>
              </w:rPr>
              <w:t>°</w:t>
            </w:r>
            <w:r>
              <w:rPr>
                <w:sz w:val="21"/>
              </w:rPr>
              <w:t xml:space="preserve">C </w:t>
            </w:r>
            <w:r>
              <w:rPr>
                <w:sz w:val="21"/>
              </w:rPr>
              <w:t>至</w:t>
            </w:r>
            <w:r>
              <w:rPr>
                <w:sz w:val="21"/>
              </w:rPr>
              <w:t>70</w:t>
            </w:r>
            <w:r>
              <w:rPr>
                <w:sz w:val="21"/>
              </w:rPr>
              <w:t>°</w:t>
            </w:r>
            <w:r>
              <w:rPr>
                <w:sz w:val="21"/>
              </w:rPr>
              <w:t>C</w:t>
            </w:r>
          </w:p>
          <w:p>
            <w:pPr>
              <w:pStyle w:val="null3"/>
              <w:jc w:val="both"/>
            </w:pPr>
            <w:r>
              <w:rPr>
                <w:sz w:val="21"/>
              </w:rPr>
              <w:t>环境湿度：</w:t>
            </w:r>
            <w:r>
              <w:rPr>
                <w:sz w:val="21"/>
              </w:rPr>
              <w:t>5% RH - 95% RH</w:t>
            </w:r>
            <w:r>
              <w:rPr>
                <w:sz w:val="21"/>
              </w:rPr>
              <w:t>（无凝结）；在操作温度范围内，</w:t>
            </w:r>
            <w:r>
              <w:rPr>
                <w:sz w:val="21"/>
              </w:rPr>
              <w:t>6</w:t>
            </w:r>
            <w:r>
              <w:rPr>
                <w:sz w:val="21"/>
              </w:rPr>
              <w:t>面均能承受多次从</w:t>
            </w:r>
            <w:r>
              <w:rPr>
                <w:sz w:val="21"/>
              </w:rPr>
              <w:t>1.5</w:t>
            </w:r>
            <w:r>
              <w:rPr>
                <w:sz w:val="21"/>
              </w:rPr>
              <w:t>米高度跌落至混凝土</w:t>
            </w:r>
          </w:p>
          <w:p>
            <w:pPr>
              <w:pStyle w:val="null3"/>
              <w:jc w:val="both"/>
            </w:pPr>
            <w:r>
              <w:rPr>
                <w:sz w:val="21"/>
              </w:rPr>
              <w:t>电源：可拆卸；底部</w:t>
            </w:r>
            <w:r>
              <w:rPr>
                <w:sz w:val="21"/>
              </w:rPr>
              <w:t xml:space="preserve">Type C USB </w:t>
            </w:r>
            <w:r>
              <w:rPr>
                <w:sz w:val="21"/>
              </w:rPr>
              <w:t>接口，支持</w:t>
            </w:r>
            <w:r>
              <w:rPr>
                <w:sz w:val="21"/>
              </w:rPr>
              <w:t xml:space="preserve">QC3.0 </w:t>
            </w:r>
            <w:r>
              <w:rPr>
                <w:sz w:val="21"/>
              </w:rPr>
              <w:t>快充，</w:t>
            </w:r>
          </w:p>
          <w:p>
            <w:pPr>
              <w:pStyle w:val="null3"/>
              <w:jc w:val="both"/>
            </w:pPr>
            <w:r>
              <w:rPr>
                <w:sz w:val="21"/>
              </w:rPr>
              <w:t>智能识别</w:t>
            </w:r>
            <w:r>
              <w:rPr>
                <w:sz w:val="21"/>
              </w:rPr>
              <w:t>PC</w:t>
            </w:r>
            <w:r>
              <w:rPr>
                <w:sz w:val="21"/>
              </w:rPr>
              <w:t>及充电器；支持手柄充电座充电</w:t>
            </w:r>
          </w:p>
          <w:p>
            <w:pPr>
              <w:pStyle w:val="null3"/>
              <w:jc w:val="both"/>
            </w:pPr>
            <w:r>
              <w:rPr>
                <w:sz w:val="21"/>
              </w:rPr>
              <w:t>中国频率：</w:t>
            </w:r>
            <w:r>
              <w:rPr>
                <w:sz w:val="21"/>
              </w:rPr>
              <w:t>920-925 MHz</w:t>
            </w:r>
          </w:p>
          <w:p>
            <w:pPr>
              <w:pStyle w:val="null3"/>
              <w:jc w:val="both"/>
            </w:pPr>
            <w:r>
              <w:rPr>
                <w:sz w:val="21"/>
              </w:rPr>
              <w:t>美国频率：</w:t>
            </w:r>
            <w:r>
              <w:rPr>
                <w:sz w:val="21"/>
              </w:rPr>
              <w:t>902-928 MHz</w:t>
            </w:r>
          </w:p>
          <w:p>
            <w:pPr>
              <w:pStyle w:val="null3"/>
              <w:jc w:val="both"/>
            </w:pPr>
            <w:r>
              <w:rPr>
                <w:sz w:val="21"/>
              </w:rPr>
              <w:t>欧洲频率：</w:t>
            </w:r>
            <w:r>
              <w:rPr>
                <w:sz w:val="21"/>
              </w:rPr>
              <w:t>865-868 MHz</w:t>
            </w:r>
            <w:r>
              <w:rPr>
                <w:sz w:val="21"/>
              </w:rPr>
              <w:t>（</w:t>
            </w:r>
            <w:r>
              <w:rPr>
                <w:sz w:val="21"/>
              </w:rPr>
              <w:t>ETSI EN 302 208</w:t>
            </w:r>
            <w:r>
              <w:rPr>
                <w:sz w:val="21"/>
              </w:rPr>
              <w:t>）</w:t>
            </w:r>
          </w:p>
          <w:p>
            <w:pPr>
              <w:pStyle w:val="null3"/>
              <w:jc w:val="both"/>
            </w:pPr>
            <w:r>
              <w:rPr>
                <w:sz w:val="21"/>
              </w:rPr>
              <w:t>引擎：</w:t>
            </w:r>
            <w:r>
              <w:rPr>
                <w:sz w:val="21"/>
              </w:rPr>
              <w:t>CM2000-1</w:t>
            </w:r>
            <w:r>
              <w:rPr>
                <w:sz w:val="21"/>
              </w:rPr>
              <w:t>，基于</w:t>
            </w:r>
            <w:r>
              <w:rPr>
                <w:sz w:val="21"/>
              </w:rPr>
              <w:t>Impinj Indy R2000</w:t>
            </w:r>
          </w:p>
          <w:p>
            <w:pPr>
              <w:pStyle w:val="null3"/>
              <w:jc w:val="both"/>
            </w:pPr>
            <w:r>
              <w:rPr>
                <w:sz w:val="21"/>
              </w:rPr>
              <w:t>协议标准：</w:t>
            </w:r>
            <w:r>
              <w:rPr>
                <w:sz w:val="21"/>
              </w:rPr>
              <w:t>EPC C1 GEN2 / ISO18000-6C</w:t>
            </w:r>
          </w:p>
          <w:p>
            <w:pPr>
              <w:pStyle w:val="null3"/>
              <w:jc w:val="both"/>
            </w:pPr>
            <w:r>
              <w:rPr>
                <w:sz w:val="21"/>
              </w:rPr>
              <w:t>天线参数：线极化天线（</w:t>
            </w:r>
            <w:r>
              <w:rPr>
                <w:sz w:val="21"/>
              </w:rPr>
              <w:t>1.8 dBi</w:t>
            </w:r>
            <w:r>
              <w:rPr>
                <w:sz w:val="21"/>
              </w:rPr>
              <w:t>）</w:t>
            </w:r>
            <w:r>
              <w:rPr>
                <w:sz w:val="21"/>
              </w:rPr>
              <w:t>/</w:t>
            </w:r>
            <w:r>
              <w:rPr>
                <w:sz w:val="21"/>
              </w:rPr>
              <w:t>圆极化天线（</w:t>
            </w:r>
            <w:r>
              <w:rPr>
                <w:sz w:val="21"/>
              </w:rPr>
              <w:t>4dBi</w:t>
            </w:r>
            <w:r>
              <w:rPr>
                <w:sz w:val="21"/>
              </w:rPr>
              <w:t>）</w:t>
            </w:r>
          </w:p>
          <w:p>
            <w:pPr>
              <w:pStyle w:val="null3"/>
              <w:jc w:val="both"/>
            </w:pPr>
            <w:r>
              <w:rPr>
                <w:sz w:val="21"/>
              </w:rPr>
              <w:t>功率：</w:t>
            </w:r>
            <w:r>
              <w:rPr>
                <w:sz w:val="21"/>
              </w:rPr>
              <w:t>1 W</w:t>
            </w:r>
            <w:r>
              <w:rPr>
                <w:sz w:val="21"/>
              </w:rPr>
              <w:t>（</w:t>
            </w:r>
            <w:r>
              <w:rPr>
                <w:sz w:val="21"/>
              </w:rPr>
              <w:t>30 dBm</w:t>
            </w:r>
            <w:r>
              <w:rPr>
                <w:sz w:val="21"/>
              </w:rPr>
              <w:t>，支持</w:t>
            </w:r>
            <w:r>
              <w:rPr>
                <w:sz w:val="21"/>
              </w:rPr>
              <w:t xml:space="preserve">+5 dBm ~ +30 dBm </w:t>
            </w:r>
            <w:r>
              <w:rPr>
                <w:sz w:val="21"/>
              </w:rPr>
              <w:t>调节）；可选</w:t>
            </w:r>
            <w:r>
              <w:rPr>
                <w:sz w:val="21"/>
              </w:rPr>
              <w:t>2W</w:t>
            </w:r>
            <w:r>
              <w:rPr>
                <w:sz w:val="21"/>
              </w:rPr>
              <w:t>（</w:t>
            </w:r>
            <w:r>
              <w:rPr>
                <w:sz w:val="21"/>
              </w:rPr>
              <w:t>33 dBm</w:t>
            </w:r>
            <w:r>
              <w:rPr>
                <w:sz w:val="21"/>
              </w:rPr>
              <w:t>，用于</w:t>
            </w:r>
            <w:r>
              <w:rPr>
                <w:sz w:val="21"/>
              </w:rPr>
              <w:t xml:space="preserve">Latin America </w:t>
            </w:r>
            <w:r>
              <w:rPr>
                <w:sz w:val="21"/>
              </w:rPr>
              <w:t>等）室外空旷环境，</w:t>
            </w:r>
            <w:r>
              <w:rPr>
                <w:sz w:val="21"/>
              </w:rPr>
              <w:t>25n</w:t>
            </w:r>
            <w:r>
              <w:rPr>
                <w:sz w:val="21"/>
              </w:rPr>
              <w:t>米（</w:t>
            </w:r>
            <w:r>
              <w:rPr>
                <w:sz w:val="21"/>
              </w:rPr>
              <w:t xml:space="preserve">R </w:t>
            </w:r>
            <w:r>
              <w:rPr>
                <w:sz w:val="21"/>
              </w:rPr>
              <w:t>圆极化，室内）；＞</w:t>
            </w:r>
            <w:r>
              <w:rPr>
                <w:sz w:val="21"/>
              </w:rPr>
              <w:t xml:space="preserve">15 </w:t>
            </w:r>
            <w:r>
              <w:rPr>
                <w:sz w:val="21"/>
              </w:rPr>
              <w:t>米（圆极化），</w:t>
            </w:r>
          </w:p>
          <w:p>
            <w:pPr>
              <w:pStyle w:val="null3"/>
              <w:jc w:val="both"/>
            </w:pPr>
            <w:r>
              <w:rPr>
                <w:sz w:val="21"/>
              </w:rPr>
              <w:t>读卡距离：</w:t>
            </w:r>
            <w:r>
              <w:rPr>
                <w:sz w:val="21"/>
              </w:rPr>
              <w:t xml:space="preserve">Impij </w:t>
            </w:r>
            <w:r>
              <w:rPr>
                <w:sz w:val="21"/>
              </w:rPr>
              <w:t>室外空旷标环签境））；＞</w:t>
            </w:r>
            <w:r>
              <w:rPr>
                <w:sz w:val="21"/>
              </w:rPr>
              <w:t xml:space="preserve">21 </w:t>
            </w:r>
            <w:r>
              <w:rPr>
                <w:sz w:val="21"/>
              </w:rPr>
              <w:t>米（线极化，室内）；＞</w:t>
            </w:r>
            <w:r>
              <w:rPr>
                <w:sz w:val="21"/>
              </w:rPr>
              <w:t xml:space="preserve">7 </w:t>
            </w:r>
            <w:r>
              <w:rPr>
                <w:sz w:val="21"/>
              </w:rPr>
              <w:t>米（线极可达</w:t>
            </w:r>
            <w:r>
              <w:rPr>
                <w:sz w:val="21"/>
              </w:rPr>
              <w:t>900 tags/s</w:t>
            </w:r>
            <w:r>
              <w:rPr>
                <w:sz w:val="21"/>
              </w:rPr>
              <w:t>（圆极化）</w:t>
            </w:r>
          </w:p>
        </w:tc>
      </w:tr>
      <w:tr>
        <w:tc>
          <w:tcPr>
            <w:tcW w:type="dxa" w:w="6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RFID</w:t>
            </w:r>
            <w:r>
              <w:rPr>
                <w:sz w:val="21"/>
              </w:rPr>
              <w:t>打印机</w:t>
            </w:r>
          </w:p>
        </w:tc>
        <w:tc>
          <w:tcPr>
            <w:tcW w:type="dxa" w:w="6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主要参数</w:t>
            </w:r>
          </w:p>
          <w:p>
            <w:pPr>
              <w:pStyle w:val="null3"/>
              <w:jc w:val="both"/>
            </w:pPr>
            <w:r>
              <w:rPr>
                <w:sz w:val="21"/>
              </w:rPr>
              <w:t>打印方式：热转印</w:t>
            </w:r>
          </w:p>
          <w:p>
            <w:pPr>
              <w:pStyle w:val="null3"/>
              <w:jc w:val="both"/>
            </w:pPr>
            <w:r>
              <w:rPr>
                <w:sz w:val="21"/>
              </w:rPr>
              <w:t>分辨率：至少</w:t>
            </w:r>
            <w:r>
              <w:rPr>
                <w:sz w:val="21"/>
              </w:rPr>
              <w:t>300 dpi</w:t>
            </w:r>
          </w:p>
          <w:p>
            <w:pPr>
              <w:pStyle w:val="null3"/>
              <w:jc w:val="both"/>
            </w:pPr>
            <w:r>
              <w:rPr>
                <w:sz w:val="21"/>
              </w:rPr>
              <w:t>最大打印速度：</w:t>
            </w:r>
            <w:r>
              <w:rPr>
                <w:sz w:val="21"/>
              </w:rPr>
              <w:t>6 ips</w:t>
            </w:r>
            <w:r>
              <w:rPr>
                <w:sz w:val="21"/>
              </w:rPr>
              <w:t>（</w:t>
            </w:r>
            <w:r>
              <w:rPr>
                <w:sz w:val="21"/>
              </w:rPr>
              <w:t>153 mm/s</w:t>
            </w:r>
            <w:r>
              <w:rPr>
                <w:sz w:val="21"/>
              </w:rPr>
              <w:t>）</w:t>
            </w:r>
          </w:p>
          <w:p>
            <w:pPr>
              <w:pStyle w:val="null3"/>
              <w:jc w:val="both"/>
            </w:pPr>
            <w:r>
              <w:rPr>
                <w:sz w:val="21"/>
              </w:rPr>
              <w:t>最大打印宽度：</w:t>
            </w:r>
            <w:r>
              <w:rPr>
                <w:sz w:val="21"/>
              </w:rPr>
              <w:t>4.17</w:t>
            </w:r>
            <w:r>
              <w:rPr>
                <w:sz w:val="21"/>
              </w:rPr>
              <w:t>″</w:t>
            </w:r>
            <w:r>
              <w:rPr>
                <w:sz w:val="21"/>
              </w:rPr>
              <w:t>(106 mm)</w:t>
            </w:r>
          </w:p>
          <w:p>
            <w:pPr>
              <w:pStyle w:val="null3"/>
              <w:jc w:val="both"/>
            </w:pPr>
            <w:r>
              <w:rPr>
                <w:sz w:val="21"/>
              </w:rPr>
              <w:t>最大打印长度：</w:t>
            </w:r>
            <w:r>
              <w:rPr>
                <w:sz w:val="21"/>
              </w:rPr>
              <w:t>157</w:t>
            </w:r>
            <w:r>
              <w:rPr>
                <w:sz w:val="21"/>
              </w:rPr>
              <w:t>″</w:t>
            </w:r>
            <w:r>
              <w:rPr>
                <w:sz w:val="21"/>
              </w:rPr>
              <w:t>(4000 mm)</w:t>
            </w:r>
          </w:p>
          <w:p>
            <w:pPr>
              <w:pStyle w:val="null3"/>
              <w:jc w:val="both"/>
            </w:pPr>
            <w:r>
              <w:rPr>
                <w:sz w:val="21"/>
              </w:rPr>
              <w:t xml:space="preserve">RFID </w:t>
            </w:r>
            <w:r>
              <w:rPr>
                <w:sz w:val="21"/>
              </w:rPr>
              <w:t>功能：</w:t>
            </w:r>
            <w:r>
              <w:rPr>
                <w:sz w:val="21"/>
              </w:rPr>
              <w:t>集成的</w:t>
            </w:r>
            <w:r>
              <w:rPr>
                <w:sz w:val="21"/>
              </w:rPr>
              <w:t xml:space="preserve">UHF </w:t>
            </w:r>
            <w:r>
              <w:rPr>
                <w:sz w:val="21"/>
              </w:rPr>
              <w:t>读写器</w:t>
            </w:r>
            <w:r>
              <w:rPr>
                <w:sz w:val="21"/>
              </w:rPr>
              <w:t xml:space="preserve">/ </w:t>
            </w:r>
            <w:r>
              <w:rPr>
                <w:sz w:val="21"/>
              </w:rPr>
              <w:t>编码器（</w:t>
            </w:r>
            <w:r>
              <w:rPr>
                <w:sz w:val="21"/>
              </w:rPr>
              <w:t xml:space="preserve"> EPC Class 1Gen2/ISO 18000-6C</w:t>
            </w:r>
            <w:r>
              <w:rPr>
                <w:sz w:val="21"/>
              </w:rPr>
              <w:t>）</w:t>
            </w:r>
          </w:p>
          <w:p>
            <w:pPr>
              <w:pStyle w:val="null3"/>
              <w:jc w:val="both"/>
            </w:pPr>
            <w:r>
              <w:rPr>
                <w:sz w:val="21"/>
              </w:rPr>
              <w:t>内存：</w:t>
            </w:r>
            <w:r>
              <w:rPr>
                <w:sz w:val="21"/>
              </w:rPr>
              <w:t>8 MB FLASH ROM</w:t>
            </w:r>
            <w:r>
              <w:rPr>
                <w:sz w:val="21"/>
              </w:rPr>
              <w:t>，</w:t>
            </w:r>
            <w:r>
              <w:rPr>
                <w:sz w:val="21"/>
              </w:rPr>
              <w:t>16 MB SDRAM</w:t>
            </w:r>
          </w:p>
          <w:p>
            <w:pPr>
              <w:pStyle w:val="null3"/>
              <w:jc w:val="both"/>
            </w:pPr>
            <w:r>
              <w:rPr>
                <w:sz w:val="21"/>
              </w:rPr>
              <w:t>标签厚度：</w:t>
            </w:r>
            <w:r>
              <w:rPr>
                <w:sz w:val="21"/>
              </w:rPr>
              <w:t>0.08</w:t>
            </w:r>
            <w:r>
              <w:rPr>
                <w:sz w:val="21"/>
              </w:rPr>
              <w:t>－</w:t>
            </w:r>
            <w:r>
              <w:rPr>
                <w:sz w:val="21"/>
              </w:rPr>
              <w:t>0.20 mm (0.003</w:t>
            </w:r>
            <w:r>
              <w:rPr>
                <w:sz w:val="21"/>
              </w:rPr>
              <w:t>″－</w:t>
            </w:r>
            <w:r>
              <w:rPr>
                <w:sz w:val="21"/>
              </w:rPr>
              <w:t>0.008</w:t>
            </w:r>
            <w:r>
              <w:rPr>
                <w:sz w:val="21"/>
              </w:rPr>
              <w:t>″</w:t>
            </w:r>
            <w:r>
              <w:rPr>
                <w:sz w:val="21"/>
              </w:rPr>
              <w:t>)</w:t>
            </w:r>
            <w:r>
              <w:rPr>
                <w:sz w:val="21"/>
              </w:rPr>
              <w:t>，包括底纸厚度</w:t>
            </w:r>
          </w:p>
          <w:p>
            <w:pPr>
              <w:pStyle w:val="null3"/>
              <w:jc w:val="both"/>
            </w:pPr>
            <w:r>
              <w:rPr>
                <w:sz w:val="21"/>
              </w:rPr>
              <w:t>纸张探测方式：反射式（可移动）</w:t>
            </w:r>
            <w:r>
              <w:rPr>
                <w:sz w:val="21"/>
              </w:rPr>
              <w:t>/</w:t>
            </w:r>
            <w:r>
              <w:rPr>
                <w:sz w:val="21"/>
              </w:rPr>
              <w:t>穿透式</w:t>
            </w:r>
          </w:p>
          <w:p>
            <w:pPr>
              <w:pStyle w:val="null3"/>
              <w:jc w:val="both"/>
            </w:pPr>
            <w:r>
              <w:rPr>
                <w:sz w:val="21"/>
              </w:rPr>
              <w:t>字体：内置五种点阵字体和</w:t>
            </w:r>
            <w:r>
              <w:rPr>
                <w:sz w:val="21"/>
              </w:rPr>
              <w:t xml:space="preserve">24 </w:t>
            </w:r>
            <w:r>
              <w:rPr>
                <w:sz w:val="21"/>
              </w:rPr>
              <w:t>点阵中文宋体，支持下载</w:t>
            </w:r>
            <w:r>
              <w:rPr>
                <w:sz w:val="21"/>
              </w:rPr>
              <w:t xml:space="preserve">TrueType </w:t>
            </w:r>
            <w:r>
              <w:rPr>
                <w:sz w:val="21"/>
              </w:rPr>
              <w:t>字体</w:t>
            </w:r>
          </w:p>
          <w:p>
            <w:pPr>
              <w:pStyle w:val="null3"/>
              <w:jc w:val="both"/>
            </w:pPr>
            <w:r>
              <w:rPr>
                <w:sz w:val="21"/>
              </w:rPr>
              <w:t>条形码：</w:t>
            </w:r>
            <w:r>
              <w:rPr>
                <w:sz w:val="21"/>
              </w:rPr>
              <w:t>Code 39, Code 93, Code 128/subset A,B,C, Codabar,</w:t>
            </w:r>
          </w:p>
          <w:p>
            <w:pPr>
              <w:pStyle w:val="null3"/>
              <w:jc w:val="both"/>
            </w:pPr>
            <w:r>
              <w:rPr>
                <w:sz w:val="21"/>
              </w:rPr>
              <w:t xml:space="preserve">Interleave 2 of 5, UPC A/E 2and5add-on, EAN-13/8/128, UCC-128 </w:t>
            </w:r>
            <w:r>
              <w:rPr>
                <w:sz w:val="21"/>
              </w:rPr>
              <w:t>等一维条形码；</w:t>
            </w:r>
            <w:r>
              <w:rPr>
                <w:sz w:val="21"/>
              </w:rPr>
              <w:t xml:space="preserve">MaxiCode, PDF417, Data matrix, QR Code </w:t>
            </w:r>
            <w:r>
              <w:rPr>
                <w:sz w:val="21"/>
              </w:rPr>
              <w:t>等二维条形码</w:t>
            </w:r>
          </w:p>
          <w:p>
            <w:pPr>
              <w:pStyle w:val="null3"/>
              <w:jc w:val="both"/>
            </w:pPr>
            <w:r>
              <w:rPr>
                <w:sz w:val="21"/>
              </w:rPr>
              <w:t>接口类型：</w:t>
            </w:r>
            <w:r>
              <w:rPr>
                <w:sz w:val="21"/>
              </w:rPr>
              <w:t xml:space="preserve">RS-232 </w:t>
            </w:r>
            <w:r>
              <w:rPr>
                <w:sz w:val="21"/>
              </w:rPr>
              <w:t>串口，</w:t>
            </w:r>
            <w:r>
              <w:rPr>
                <w:sz w:val="21"/>
              </w:rPr>
              <w:t xml:space="preserve">10/100M-bit </w:t>
            </w:r>
            <w:r>
              <w:rPr>
                <w:sz w:val="21"/>
              </w:rPr>
              <w:t>以太网口，</w:t>
            </w:r>
            <w:r>
              <w:rPr>
                <w:sz w:val="21"/>
              </w:rPr>
              <w:t>USB</w:t>
            </w:r>
          </w:p>
          <w:p>
            <w:pPr>
              <w:pStyle w:val="null3"/>
              <w:jc w:val="both"/>
            </w:pPr>
            <w:r>
              <w:rPr>
                <w:sz w:val="21"/>
              </w:rPr>
              <w:t xml:space="preserve">DEVICE 2.0 </w:t>
            </w:r>
            <w:r>
              <w:rPr>
                <w:sz w:val="21"/>
              </w:rPr>
              <w:t>接口</w:t>
            </w:r>
            <w:r>
              <w:rPr>
                <w:sz w:val="21"/>
              </w:rPr>
              <w:t xml:space="preserve">, USB HOST </w:t>
            </w:r>
            <w:r>
              <w:rPr>
                <w:sz w:val="21"/>
              </w:rPr>
              <w:t>接口，</w:t>
            </w:r>
            <w:r>
              <w:rPr>
                <w:sz w:val="21"/>
              </w:rPr>
              <w:t xml:space="preserve">Centronics </w:t>
            </w:r>
            <w:r>
              <w:rPr>
                <w:sz w:val="21"/>
              </w:rPr>
              <w:t>并口（选配）</w:t>
            </w:r>
          </w:p>
          <w:p>
            <w:pPr>
              <w:pStyle w:val="null3"/>
              <w:jc w:val="both"/>
            </w:pPr>
            <w:r>
              <w:rPr>
                <w:sz w:val="21"/>
              </w:rPr>
              <w:t>电源适配器输入：交流</w:t>
            </w:r>
            <w:r>
              <w:rPr>
                <w:sz w:val="21"/>
              </w:rPr>
              <w:t>100 ~ 240 V</w:t>
            </w:r>
            <w:r>
              <w:rPr>
                <w:sz w:val="21"/>
              </w:rPr>
              <w:t>，</w:t>
            </w:r>
            <w:r>
              <w:rPr>
                <w:sz w:val="21"/>
              </w:rPr>
              <w:t>50/60 Hz</w:t>
            </w:r>
            <w:r>
              <w:rPr>
                <w:sz w:val="21"/>
              </w:rPr>
              <w:t>输出：直流</w:t>
            </w:r>
            <w:r>
              <w:rPr>
                <w:sz w:val="21"/>
              </w:rPr>
              <w:t>24 V</w:t>
            </w:r>
            <w:r>
              <w:rPr>
                <w:sz w:val="21"/>
              </w:rPr>
              <w:t>，</w:t>
            </w:r>
            <w:r>
              <w:rPr>
                <w:sz w:val="21"/>
              </w:rPr>
              <w:t>4.0 A</w:t>
            </w:r>
          </w:p>
          <w:p>
            <w:pPr>
              <w:pStyle w:val="null3"/>
              <w:jc w:val="both"/>
            </w:pPr>
            <w:r>
              <w:rPr>
                <w:sz w:val="21"/>
              </w:rPr>
              <w:t>工作环境</w:t>
            </w:r>
          </w:p>
          <w:p>
            <w:pPr>
              <w:pStyle w:val="null3"/>
              <w:jc w:val="both"/>
            </w:pPr>
            <w:r>
              <w:rPr>
                <w:sz w:val="21"/>
              </w:rPr>
              <w:t>温度：</w:t>
            </w:r>
            <w:r>
              <w:rPr>
                <w:sz w:val="21"/>
              </w:rPr>
              <w:t>0</w:t>
            </w:r>
            <w:r>
              <w:rPr>
                <w:sz w:val="21"/>
              </w:rPr>
              <w:t>℃</w:t>
            </w:r>
            <w:r>
              <w:rPr>
                <w:sz w:val="21"/>
              </w:rPr>
              <w:t>~ 40</w:t>
            </w:r>
            <w:r>
              <w:rPr>
                <w:sz w:val="21"/>
              </w:rPr>
              <w:t>℃</w:t>
            </w:r>
            <w:r>
              <w:rPr>
                <w:sz w:val="21"/>
              </w:rPr>
              <w:t>(32</w:t>
            </w:r>
            <w:r>
              <w:rPr>
                <w:sz w:val="21"/>
              </w:rPr>
              <w:t>°</w:t>
            </w:r>
            <w:r>
              <w:rPr>
                <w:sz w:val="21"/>
              </w:rPr>
              <w:t>F ~ +104</w:t>
            </w:r>
            <w:r>
              <w:rPr>
                <w:sz w:val="21"/>
              </w:rPr>
              <w:t>°</w:t>
            </w:r>
            <w:r>
              <w:rPr>
                <w:sz w:val="21"/>
              </w:rPr>
              <w:t>F)</w:t>
            </w:r>
            <w:r>
              <w:rPr>
                <w:sz w:val="21"/>
              </w:rPr>
              <w:t>；相对湿度：</w:t>
            </w:r>
            <w:r>
              <w:rPr>
                <w:sz w:val="21"/>
              </w:rPr>
              <w:t>5% ~ 85%</w:t>
            </w:r>
            <w:r>
              <w:rPr>
                <w:sz w:val="21"/>
              </w:rPr>
              <w:t>无凝露</w:t>
            </w:r>
          </w:p>
          <w:p>
            <w:pPr>
              <w:pStyle w:val="null3"/>
              <w:jc w:val="both"/>
            </w:pPr>
            <w:r>
              <w:rPr>
                <w:sz w:val="21"/>
              </w:rPr>
              <w:t>存储环境</w:t>
            </w:r>
          </w:p>
          <w:p>
            <w:pPr>
              <w:pStyle w:val="null3"/>
              <w:jc w:val="both"/>
            </w:pPr>
            <w:r>
              <w:rPr>
                <w:sz w:val="21"/>
              </w:rPr>
              <w:t>温度：</w:t>
            </w:r>
            <w:r>
              <w:rPr>
                <w:sz w:val="21"/>
              </w:rPr>
              <w:t>-30</w:t>
            </w:r>
            <w:r>
              <w:rPr>
                <w:sz w:val="21"/>
              </w:rPr>
              <w:t>℃</w:t>
            </w:r>
            <w:r>
              <w:rPr>
                <w:sz w:val="21"/>
              </w:rPr>
              <w:t>~ 60</w:t>
            </w:r>
            <w:r>
              <w:rPr>
                <w:sz w:val="21"/>
              </w:rPr>
              <w:t>℃</w:t>
            </w:r>
            <w:r>
              <w:rPr>
                <w:sz w:val="21"/>
              </w:rPr>
              <w:t>(-22</w:t>
            </w:r>
            <w:r>
              <w:rPr>
                <w:sz w:val="21"/>
              </w:rPr>
              <w:t>°</w:t>
            </w:r>
            <w:r>
              <w:rPr>
                <w:sz w:val="21"/>
              </w:rPr>
              <w:t>F ~ +140</w:t>
            </w:r>
            <w:r>
              <w:rPr>
                <w:sz w:val="21"/>
              </w:rPr>
              <w:t>°</w:t>
            </w:r>
            <w:r>
              <w:rPr>
                <w:sz w:val="21"/>
              </w:rPr>
              <w:t>F)</w:t>
            </w:r>
            <w:r>
              <w:rPr>
                <w:sz w:val="21"/>
              </w:rPr>
              <w:t>；相对湿度：</w:t>
            </w:r>
            <w:r>
              <w:rPr>
                <w:sz w:val="21"/>
              </w:rPr>
              <w:t>5% ~ 85%</w:t>
            </w:r>
            <w:r>
              <w:rPr>
                <w:sz w:val="21"/>
              </w:rPr>
              <w:t>无凝露</w:t>
            </w:r>
          </w:p>
        </w:tc>
      </w:tr>
    </w:tbl>
    <w:p>
      <w:pPr>
        <w:pStyle w:val="null3"/>
        <w:ind w:firstLine="400"/>
      </w:pPr>
      <w:r>
        <w:rPr>
          <w:sz w:val="20"/>
        </w:rPr>
        <w:t>6.</w:t>
      </w:r>
      <w:r>
        <w:rPr>
          <w:sz w:val="20"/>
        </w:rPr>
        <w:t>档案咨询、接待</w:t>
      </w:r>
    </w:p>
    <w:p>
      <w:pPr>
        <w:pStyle w:val="null3"/>
        <w:ind w:firstLine="400"/>
      </w:pPr>
      <w:r>
        <w:rPr>
          <w:sz w:val="20"/>
        </w:rPr>
        <w:t>（</w:t>
      </w:r>
      <w:r>
        <w:rPr>
          <w:sz w:val="20"/>
        </w:rPr>
        <w:t>1</w:t>
      </w:r>
      <w:r>
        <w:rPr>
          <w:sz w:val="20"/>
        </w:rPr>
        <w:t>）接听咨询电话，受理电子及纸质查档申请，记录借调信息（含分机号、年份、案号、来电时间等），查询档案详情、归档号，并安排调出或提供电子查阅，随后通知借调人办理手续。如档案不能调出需与借调人说明情况（档案已借出、未归档、上诉等情况）。</w:t>
      </w:r>
    </w:p>
    <w:p>
      <w:pPr>
        <w:pStyle w:val="null3"/>
        <w:ind w:firstLine="400"/>
      </w:pPr>
      <w:r>
        <w:rPr>
          <w:sz w:val="20"/>
        </w:rPr>
        <w:t>（</w:t>
      </w:r>
      <w:r>
        <w:rPr>
          <w:sz w:val="20"/>
        </w:rPr>
        <w:t>2</w:t>
      </w:r>
      <w:r>
        <w:rPr>
          <w:sz w:val="20"/>
        </w:rPr>
        <w:t>）接待查询或借调的单位及个人，包括外单位及本院工作人员，审核并接收借阅所需证件及证明。</w:t>
      </w:r>
    </w:p>
    <w:p>
      <w:pPr>
        <w:pStyle w:val="null3"/>
        <w:ind w:firstLine="400"/>
      </w:pPr>
      <w:r>
        <w:rPr>
          <w:sz w:val="20"/>
        </w:rPr>
        <w:t>（</w:t>
      </w:r>
      <w:r>
        <w:rPr>
          <w:sz w:val="20"/>
        </w:rPr>
        <w:t>3</w:t>
      </w:r>
      <w:r>
        <w:rPr>
          <w:sz w:val="20"/>
        </w:rPr>
        <w:t>）做好查借阅的登记，每月汇总查、借阅数量及情况，制作和生成查、借阅相关报表上报档案室。</w:t>
      </w:r>
    </w:p>
    <w:p>
      <w:pPr>
        <w:pStyle w:val="null3"/>
        <w:ind w:firstLine="400"/>
      </w:pPr>
      <w:r>
        <w:rPr>
          <w:sz w:val="20"/>
        </w:rPr>
        <w:t>（</w:t>
      </w:r>
      <w:r>
        <w:rPr>
          <w:sz w:val="20"/>
        </w:rPr>
        <w:t>4</w:t>
      </w:r>
      <w:r>
        <w:rPr>
          <w:sz w:val="20"/>
        </w:rPr>
        <w:t>）整理接收的查借阅申请材料，按时间先后装订成册。</w:t>
      </w:r>
    </w:p>
    <w:p>
      <w:pPr>
        <w:pStyle w:val="null3"/>
        <w:ind w:firstLine="400"/>
      </w:pPr>
      <w:r>
        <w:rPr>
          <w:sz w:val="20"/>
        </w:rPr>
        <w:t>7.</w:t>
      </w:r>
      <w:r>
        <w:rPr>
          <w:sz w:val="20"/>
        </w:rPr>
        <w:t>调档</w:t>
      </w:r>
    </w:p>
    <w:p>
      <w:pPr>
        <w:pStyle w:val="null3"/>
        <w:ind w:firstLine="400"/>
      </w:pPr>
      <w:r>
        <w:rPr>
          <w:sz w:val="20"/>
        </w:rPr>
        <w:t>（</w:t>
      </w:r>
      <w:r>
        <w:rPr>
          <w:sz w:val="20"/>
        </w:rPr>
        <w:t>1</w:t>
      </w:r>
      <w:r>
        <w:rPr>
          <w:sz w:val="20"/>
        </w:rPr>
        <w:t>）根据借调信息到档案所在库房把档案调出。已入库的档案到库房调出，未入库的档案到接收、打封面、扫描、著录、质检、装订、打印档案盒等各环节中借调并登记。</w:t>
      </w:r>
    </w:p>
    <w:p>
      <w:pPr>
        <w:pStyle w:val="null3"/>
        <w:ind w:firstLine="400"/>
      </w:pPr>
      <w:r>
        <w:rPr>
          <w:sz w:val="20"/>
        </w:rPr>
        <w:t>（</w:t>
      </w:r>
      <w:r>
        <w:rPr>
          <w:sz w:val="20"/>
        </w:rPr>
        <w:t>2</w:t>
      </w:r>
      <w:r>
        <w:rPr>
          <w:sz w:val="20"/>
        </w:rPr>
        <w:t>）档案归还检查核对（案件信息、卷数、册数、页数等），已利用档案按类型、年份划分并到库房按归档号顺序上架。</w:t>
      </w:r>
    </w:p>
    <w:p>
      <w:pPr>
        <w:pStyle w:val="null3"/>
        <w:ind w:firstLine="400"/>
      </w:pPr>
      <w:r>
        <w:rPr>
          <w:sz w:val="20"/>
        </w:rPr>
        <w:t>8.</w:t>
      </w:r>
      <w:r>
        <w:rPr>
          <w:sz w:val="20"/>
        </w:rPr>
        <w:t>档案入库上架</w:t>
      </w:r>
    </w:p>
    <w:p>
      <w:pPr>
        <w:pStyle w:val="null3"/>
        <w:ind w:firstLine="400"/>
      </w:pPr>
      <w:r>
        <w:rPr>
          <w:sz w:val="20"/>
        </w:rPr>
        <w:t>（</w:t>
      </w:r>
      <w:r>
        <w:rPr>
          <w:sz w:val="20"/>
        </w:rPr>
        <w:t>1</w:t>
      </w:r>
      <w:r>
        <w:rPr>
          <w:sz w:val="20"/>
        </w:rPr>
        <w:t>）已验收的档案及时分类装箱入库，按照符合相关规定和采购人要求将档案安全运送到指定库房。</w:t>
      </w:r>
    </w:p>
    <w:p>
      <w:pPr>
        <w:pStyle w:val="null3"/>
        <w:ind w:firstLine="400"/>
      </w:pPr>
      <w:r>
        <w:rPr>
          <w:sz w:val="20"/>
        </w:rPr>
        <w:t>（</w:t>
      </w:r>
      <w:r>
        <w:rPr>
          <w:sz w:val="20"/>
        </w:rPr>
        <w:t>2</w:t>
      </w:r>
      <w:r>
        <w:rPr>
          <w:sz w:val="20"/>
        </w:rPr>
        <w:t>）入库：档案按档案管理部门要求入库，完成档案上架。</w:t>
      </w:r>
    </w:p>
    <w:p>
      <w:pPr>
        <w:pStyle w:val="null3"/>
        <w:ind w:firstLine="400"/>
      </w:pPr>
      <w:r>
        <w:rPr>
          <w:sz w:val="20"/>
        </w:rPr>
        <w:t>（</w:t>
      </w:r>
      <w:r>
        <w:rPr>
          <w:sz w:val="20"/>
        </w:rPr>
        <w:t>3</w:t>
      </w:r>
      <w:r>
        <w:rPr>
          <w:sz w:val="20"/>
        </w:rPr>
        <w:t>）负责制作出库登记表、入库登记表以及盘点表等各类表格，并按时上报至档案室。</w:t>
      </w:r>
    </w:p>
    <w:p>
      <w:pPr>
        <w:pStyle w:val="null3"/>
        <w:ind w:firstLine="400"/>
      </w:pPr>
      <w:r>
        <w:rPr>
          <w:sz w:val="20"/>
        </w:rPr>
        <w:t>9.</w:t>
      </w:r>
      <w:r>
        <w:rPr>
          <w:sz w:val="20"/>
        </w:rPr>
        <w:t>其他工作</w:t>
      </w:r>
    </w:p>
    <w:p>
      <w:pPr>
        <w:pStyle w:val="null3"/>
        <w:ind w:firstLine="400"/>
      </w:pPr>
      <w:r>
        <w:rPr>
          <w:sz w:val="20"/>
        </w:rPr>
        <w:t>（</w:t>
      </w:r>
      <w:r>
        <w:rPr>
          <w:sz w:val="20"/>
        </w:rPr>
        <w:t>1</w:t>
      </w:r>
      <w:r>
        <w:rPr>
          <w:sz w:val="20"/>
        </w:rPr>
        <w:t>）档案新增材料归还检查、插入编页、补充扫描、二次装订和入库排序上架。</w:t>
      </w:r>
    </w:p>
    <w:p>
      <w:pPr>
        <w:pStyle w:val="null3"/>
        <w:ind w:firstLine="400"/>
      </w:pPr>
      <w:r>
        <w:rPr>
          <w:sz w:val="20"/>
        </w:rPr>
        <w:t>（</w:t>
      </w:r>
      <w:r>
        <w:rPr>
          <w:sz w:val="20"/>
        </w:rPr>
        <w:t>2</w:t>
      </w:r>
      <w:r>
        <w:rPr>
          <w:sz w:val="20"/>
        </w:rPr>
        <w:t>）全院文书打印工作</w:t>
      </w:r>
    </w:p>
    <w:p>
      <w:pPr>
        <w:pStyle w:val="null3"/>
        <w:ind w:firstLine="400"/>
      </w:pPr>
      <w:r>
        <w:rPr>
          <w:sz w:val="20"/>
        </w:rPr>
        <w:t>（</w:t>
      </w:r>
      <w:r>
        <w:rPr>
          <w:sz w:val="20"/>
        </w:rPr>
        <w:t>3</w:t>
      </w:r>
      <w:r>
        <w:rPr>
          <w:sz w:val="20"/>
        </w:rPr>
        <w:t>）配合档案大规模借调、档案搬迁。</w:t>
      </w:r>
    </w:p>
    <w:p>
      <w:pPr>
        <w:pStyle w:val="null3"/>
        <w:ind w:firstLine="400"/>
      </w:pPr>
      <w:r>
        <w:rPr>
          <w:sz w:val="20"/>
        </w:rPr>
        <w:t>（</w:t>
      </w:r>
      <w:r>
        <w:rPr>
          <w:sz w:val="20"/>
        </w:rPr>
        <w:t>4</w:t>
      </w:r>
      <w:r>
        <w:rPr>
          <w:sz w:val="20"/>
        </w:rPr>
        <w:t>）配合档案室完成上级检查前的工作准备。</w:t>
      </w:r>
    </w:p>
    <w:p>
      <w:pPr>
        <w:pStyle w:val="null3"/>
        <w:ind w:firstLine="400"/>
      </w:pPr>
      <w:r>
        <w:rPr>
          <w:sz w:val="20"/>
        </w:rPr>
        <w:t>（</w:t>
      </w:r>
      <w:r>
        <w:rPr>
          <w:sz w:val="20"/>
        </w:rPr>
        <w:t>5</w:t>
      </w:r>
      <w:r>
        <w:rPr>
          <w:sz w:val="20"/>
        </w:rPr>
        <w:t>）档案室管理员安排的其他相关工作。</w:t>
      </w:r>
    </w:p>
    <w:p>
      <w:pPr>
        <w:pStyle w:val="null3"/>
      </w:pPr>
      <w:r>
        <w:rPr>
          <w:sz w:val="20"/>
        </w:rPr>
        <w:t>四、合同履行期限、地点、方式和服务质量标准</w:t>
      </w:r>
    </w:p>
    <w:p>
      <w:pPr>
        <w:pStyle w:val="null3"/>
      </w:pPr>
      <w:r>
        <w:rPr>
          <w:sz w:val="20"/>
        </w:rPr>
        <w:t>1</w:t>
      </w:r>
      <w:r>
        <w:rPr>
          <w:sz w:val="20"/>
        </w:rPr>
        <w:t>）本合同自＿＿＿＿年＿＿月＿＿日至＿＿＿＿年＿＿月＿＿日在广东省中山市中级人民法院履行。</w:t>
      </w:r>
    </w:p>
    <w:p>
      <w:pPr>
        <w:pStyle w:val="null3"/>
      </w:pPr>
      <w:r>
        <w:rPr>
          <w:sz w:val="20"/>
        </w:rPr>
        <w:t>2</w:t>
      </w:r>
      <w:r>
        <w:rPr>
          <w:sz w:val="20"/>
        </w:rPr>
        <w:t>）项目要求：详见招标文件中“采购需求”部分</w:t>
      </w:r>
    </w:p>
    <w:p>
      <w:pPr>
        <w:pStyle w:val="null3"/>
      </w:pPr>
      <w:r>
        <w:rPr>
          <w:sz w:val="20"/>
        </w:rPr>
        <w:t>3</w:t>
      </w:r>
      <w:r>
        <w:rPr>
          <w:sz w:val="20"/>
        </w:rPr>
        <w:t>）服务质量标准：详见招标文件</w:t>
      </w:r>
    </w:p>
    <w:p>
      <w:pPr>
        <w:pStyle w:val="null3"/>
      </w:pPr>
      <w:r>
        <w:rPr>
          <w:sz w:val="20"/>
        </w:rPr>
        <w:t>4</w:t>
      </w:r>
      <w:r>
        <w:rPr>
          <w:sz w:val="20"/>
        </w:rPr>
        <w:t>）本合同的履行方式由甲、乙双方在履约过程中具体商定。</w:t>
      </w:r>
    </w:p>
    <w:p>
      <w:pPr>
        <w:pStyle w:val="null3"/>
      </w:pPr>
      <w:r>
        <w:rPr>
          <w:sz w:val="20"/>
        </w:rPr>
        <w:t>五、合同价款</w:t>
      </w:r>
    </w:p>
    <w:p>
      <w:pPr>
        <w:pStyle w:val="null3"/>
        <w:ind w:firstLine="400"/>
      </w:pPr>
      <w:r>
        <w:rPr>
          <w:sz w:val="20"/>
        </w:rPr>
        <w:t>本合同总金额为人民币＿＿＿＿＿＿＿＿＿＿＿＿（￥＿＿＿＿＿＿元）。</w:t>
      </w:r>
    </w:p>
    <w:p>
      <w:pPr>
        <w:pStyle w:val="null3"/>
      </w:pPr>
      <w:r>
        <w:rPr>
          <w:sz w:val="20"/>
        </w:rPr>
        <w:t>六、付款方式</w:t>
      </w:r>
    </w:p>
    <w:p>
      <w:pPr>
        <w:pStyle w:val="null3"/>
        <w:ind w:firstLine="400"/>
      </w:pPr>
      <w:r>
        <w:rPr>
          <w:sz w:val="20"/>
        </w:rPr>
        <w:t>1.</w:t>
      </w:r>
      <w:r>
        <w:rPr>
          <w:sz w:val="20"/>
        </w:rPr>
        <w:t>首次结算：合同签订后</w:t>
      </w:r>
      <w:r>
        <w:rPr>
          <w:sz w:val="20"/>
        </w:rPr>
        <w:t>10</w:t>
      </w:r>
      <w:r>
        <w:rPr>
          <w:sz w:val="20"/>
        </w:rPr>
        <w:t>个工作日内，甲方向乙方支付合同总金额的</w:t>
      </w:r>
      <w:r>
        <w:rPr>
          <w:sz w:val="20"/>
        </w:rPr>
        <w:t>50%</w:t>
      </w:r>
      <w:r>
        <w:rPr>
          <w:sz w:val="20"/>
        </w:rPr>
        <w:t>作为第一期款项，剩余合同总金额费用按常规结算方式结算。</w:t>
      </w:r>
    </w:p>
    <w:p>
      <w:pPr>
        <w:pStyle w:val="null3"/>
        <w:ind w:firstLine="400"/>
      </w:pPr>
      <w:r>
        <w:rPr>
          <w:sz w:val="20"/>
        </w:rPr>
        <w:t>2.</w:t>
      </w:r>
      <w:r>
        <w:rPr>
          <w:sz w:val="20"/>
        </w:rPr>
        <w:t>常规结算：剩余合同总金额的</w:t>
      </w:r>
      <w:r>
        <w:rPr>
          <w:sz w:val="20"/>
        </w:rPr>
        <w:t>45%</w:t>
      </w:r>
      <w:r>
        <w:rPr>
          <w:sz w:val="20"/>
        </w:rPr>
        <w:t>分三期支付，每三个月支付一次。</w:t>
      </w:r>
    </w:p>
    <w:p>
      <w:pPr>
        <w:pStyle w:val="null3"/>
        <w:ind w:firstLine="400"/>
      </w:pPr>
      <w:r>
        <w:rPr>
          <w:sz w:val="20"/>
        </w:rPr>
        <w:t>3.</w:t>
      </w:r>
      <w:r>
        <w:rPr>
          <w:sz w:val="20"/>
        </w:rPr>
        <w:t>项目完工并通过验收后，</w:t>
      </w:r>
      <w:r>
        <w:rPr>
          <w:sz w:val="20"/>
        </w:rPr>
        <w:t>15</w:t>
      </w:r>
      <w:r>
        <w:rPr>
          <w:sz w:val="20"/>
        </w:rPr>
        <w:t>个工作日内，甲方向乙方支付剩余合同总金额的</w:t>
      </w:r>
      <w:r>
        <w:rPr>
          <w:sz w:val="20"/>
        </w:rPr>
        <w:t>5%</w:t>
      </w:r>
      <w:r>
        <w:rPr>
          <w:sz w:val="20"/>
        </w:rPr>
        <w:t>。</w:t>
      </w:r>
    </w:p>
    <w:p>
      <w:pPr>
        <w:pStyle w:val="null3"/>
        <w:ind w:firstLine="400"/>
      </w:pPr>
      <w:r>
        <w:rPr>
          <w:sz w:val="20"/>
        </w:rPr>
        <w:t>注：因甲方使用的是财政资金，前述约定的付款时间为财政部门下达资金后，甲方在约定时间内向财政部门申请付款后即视为其已按期完成付款义务。乙方应配合甲方向财政部门办理支付申请手续，因乙方拒绝配合或延期提供相关资料，付款时间相应顺延。乙方每次请款前应先开具等额有效的发票，否则甲方有权拒绝付款。</w:t>
      </w:r>
    </w:p>
    <w:p>
      <w:pPr>
        <w:pStyle w:val="null3"/>
      </w:pPr>
      <w:r>
        <w:rPr>
          <w:sz w:val="20"/>
        </w:rPr>
        <w:t>七、保密要求</w:t>
      </w:r>
    </w:p>
    <w:p>
      <w:pPr>
        <w:pStyle w:val="null3"/>
        <w:ind w:firstLine="400"/>
      </w:pPr>
      <w:r>
        <w:rPr>
          <w:sz w:val="20"/>
        </w:rPr>
        <w:t>1.</w:t>
      </w:r>
      <w:r>
        <w:rPr>
          <w:sz w:val="20"/>
        </w:rPr>
        <w:t>乙方应严格遵守《档案法》和《保密法》法律规定，与甲方签订保密协议，对项目中涉及到的档案信息、个人信息（隐私）、工作信息等承担保密义务，有责任对参与本项目的人员进行保密安全教育，防止泄密事件的发生，并与每个项目工作人员签订保密协议，该保密协议一式三份，交甲方保留一份。否则，甲方有权根据问题的严重程度，追究乙方及其相关责任人的涉密责任。</w:t>
      </w:r>
    </w:p>
    <w:p>
      <w:pPr>
        <w:pStyle w:val="null3"/>
        <w:ind w:firstLine="400"/>
      </w:pPr>
      <w:r>
        <w:rPr>
          <w:sz w:val="20"/>
        </w:rPr>
        <w:t>2.</w:t>
      </w:r>
      <w:r>
        <w:rPr>
          <w:sz w:val="20"/>
        </w:rPr>
        <w:t>乙方须建立完善的项目安全保密管理制度，明确安全岗位责任。乙方定期对参与本项目的管理人员和工作人员进行安全培训教育，加强学习保密知识，要求参与项目的工作人员必须严格遵守《中华人民共和国档案法》、《中华人民共和国保守国家秘密法》及甲方的相关保密制度和其他有关法规，明确档案管理的责任，树立档案安全保密意识，严防泄密事件发生。</w:t>
      </w:r>
    </w:p>
    <w:p>
      <w:pPr>
        <w:pStyle w:val="null3"/>
        <w:ind w:firstLine="400"/>
      </w:pPr>
      <w:r>
        <w:rPr>
          <w:sz w:val="20"/>
        </w:rPr>
        <w:t>3.</w:t>
      </w:r>
      <w:r>
        <w:rPr>
          <w:sz w:val="20"/>
        </w:rPr>
        <w:t>本项目服务工作必须在甲方指定的场所内进行，乙方确保场所正常秩序和安全。不得遗失、损坏卷宗，如有违法行为或违反相关规定，将依法或依据约定追究相应的责任。</w:t>
      </w:r>
    </w:p>
    <w:p>
      <w:pPr>
        <w:pStyle w:val="null3"/>
        <w:ind w:firstLine="400"/>
      </w:pPr>
      <w:r>
        <w:rPr>
          <w:sz w:val="20"/>
        </w:rPr>
        <w:t>4.</w:t>
      </w:r>
      <w:r>
        <w:rPr>
          <w:sz w:val="20"/>
        </w:rPr>
        <w:t>乙方工作人员不得以任何方式非法向外人泄露档案所涉及的审判秘密、工作秘密及其他不宜公开的信息，否则按国家有关规定处理，情节严重的要承担相应的刑事责任。</w:t>
      </w:r>
    </w:p>
    <w:p>
      <w:pPr>
        <w:pStyle w:val="null3"/>
        <w:ind w:firstLine="400"/>
      </w:pPr>
      <w:r>
        <w:rPr>
          <w:sz w:val="20"/>
        </w:rPr>
        <w:t>5.</w:t>
      </w:r>
      <w:r>
        <w:rPr>
          <w:sz w:val="20"/>
        </w:rPr>
        <w:t>如发生遗失、复制、泄露等安全事故，全部由乙方负责。甲方将依照《中华人民共和国档案法》、《广东省档案条例》等规定进行严肃处理，对情节严重的，甲方有权暂停乙方全部工作，按有关法规追究法律责任，并责成乙方进行整改，整改通过后方能恢复工作，所耽误的工作进度由乙方自行负责；情节特别严重的，将追究乙方相应的刑事责任，并视为乙方违约，由此造成甲方的一切损失由乙方承担，甲方有权解除合同。</w:t>
      </w:r>
    </w:p>
    <w:p>
      <w:pPr>
        <w:pStyle w:val="null3"/>
        <w:ind w:firstLine="400"/>
      </w:pPr>
      <w:r>
        <w:rPr>
          <w:sz w:val="20"/>
        </w:rPr>
        <w:t>6.</w:t>
      </w:r>
      <w:r>
        <w:rPr>
          <w:sz w:val="20"/>
        </w:rPr>
        <w:t>网络安全：乙方的工作局域网与甲方内网连接，乙方应建立网络安全防控机制，定期对工作电脑、服务器进行病毒查杀，对敏感端口进行安全扫描，对采购人要求封闭的网络端口进行封闭。外部存储设备未经安全设备进行中间转换，不得接入工作局域网。</w:t>
      </w:r>
    </w:p>
    <w:p>
      <w:pPr>
        <w:pStyle w:val="null3"/>
        <w:ind w:firstLine="400"/>
      </w:pPr>
      <w:r>
        <w:rPr>
          <w:sz w:val="20"/>
        </w:rPr>
        <w:t>7.</w:t>
      </w:r>
      <w:r>
        <w:rPr>
          <w:sz w:val="20"/>
        </w:rPr>
        <w:t>数据安全，乙方应对本项目所有产生的电子化数据的完整性和安全性负责，全面做好电子化数据的备份（至少有一份以上的电子化数据备份），确保数据的安全。乙方对项目实施过程中产生的档案数据（包括但不限于扫描成果、过程数据、统计数据）负有保管义务，供应商应有数据管理的系统和数据处理工作流程，确保档案数据的真实性和准确性，移交甲方的数据必须经过杀毒和数据质量检查，确保数据准确。</w:t>
      </w:r>
    </w:p>
    <w:p>
      <w:pPr>
        <w:pStyle w:val="null3"/>
        <w:ind w:firstLine="400"/>
      </w:pPr>
      <w:r>
        <w:rPr>
          <w:sz w:val="20"/>
        </w:rPr>
        <w:t>8.</w:t>
      </w:r>
      <w:r>
        <w:rPr>
          <w:sz w:val="20"/>
        </w:rPr>
        <w:t>软件安全：乙方入场电脑设备使用的操作系统、业务系统必须为正版软件，业务系统软件必须具有知识版权或获得版权方授权，乙方、项目工作人员必须签订正版软件承诺书，严禁使用盗版软件。</w:t>
      </w:r>
    </w:p>
    <w:p>
      <w:pPr>
        <w:pStyle w:val="null3"/>
        <w:ind w:firstLine="400"/>
      </w:pPr>
      <w:r>
        <w:rPr>
          <w:sz w:val="20"/>
        </w:rPr>
        <w:t>9.</w:t>
      </w:r>
      <w:r>
        <w:rPr>
          <w:sz w:val="20"/>
        </w:rPr>
        <w:t>乙方购置的全部电脑硬盘等存储介质所有权归甲方所有。项目结束，乙方离场前需将电脑硬盘等全部存储介质交给甲方，由甲方进行处理。</w:t>
      </w:r>
    </w:p>
    <w:p>
      <w:pPr>
        <w:pStyle w:val="null3"/>
        <w:ind w:firstLine="400"/>
      </w:pPr>
      <w:r>
        <w:rPr>
          <w:sz w:val="20"/>
        </w:rPr>
        <w:t>10.</w:t>
      </w:r>
      <w:r>
        <w:rPr>
          <w:sz w:val="20"/>
        </w:rPr>
        <w:t>应急预案，乙方应针对本院项目人员、场地、设备、消防、防尘、防虫等特定条件，制定相关应急预案，并定期进行演练，确保实体档案安全。</w:t>
      </w:r>
    </w:p>
    <w:p>
      <w:pPr>
        <w:pStyle w:val="null3"/>
        <w:ind w:firstLine="400"/>
      </w:pPr>
      <w:r>
        <w:rPr>
          <w:sz w:val="20"/>
        </w:rPr>
        <w:t>11.</w:t>
      </w:r>
      <w:r>
        <w:rPr>
          <w:sz w:val="20"/>
        </w:rPr>
        <w:t>用于档案数字化的设备及存储介质的维修、更换与报废应符合有关规定，有甲方专门人员现场监督，严防数据被非法留存和复制，严防数据被非法留存和复制，报废前必须进行信息和数据的彻底清除。</w:t>
      </w:r>
    </w:p>
    <w:p>
      <w:pPr>
        <w:pStyle w:val="null3"/>
      </w:pPr>
      <w:r>
        <w:rPr>
          <w:sz w:val="20"/>
        </w:rPr>
        <w:t>八、合同双方的权利与责任</w:t>
      </w:r>
    </w:p>
    <w:p>
      <w:pPr>
        <w:pStyle w:val="null3"/>
      </w:pPr>
      <w:r>
        <w:rPr>
          <w:sz w:val="20"/>
        </w:rPr>
        <w:t>（一）甲方的权利与责任</w:t>
      </w:r>
    </w:p>
    <w:p>
      <w:pPr>
        <w:pStyle w:val="null3"/>
        <w:ind w:firstLine="400"/>
      </w:pPr>
      <w:r>
        <w:rPr>
          <w:sz w:val="20"/>
        </w:rPr>
        <w:t>1</w:t>
      </w:r>
      <w:r>
        <w:rPr>
          <w:sz w:val="20"/>
        </w:rPr>
        <w:t>）负责提供服务场地、必要的办公条件，并提供服务所需要的资料和数据。</w:t>
      </w:r>
    </w:p>
    <w:p>
      <w:pPr>
        <w:pStyle w:val="null3"/>
        <w:ind w:firstLine="400"/>
      </w:pPr>
      <w:r>
        <w:rPr>
          <w:sz w:val="20"/>
        </w:rPr>
        <w:t>2</w:t>
      </w:r>
      <w:r>
        <w:rPr>
          <w:sz w:val="20"/>
        </w:rPr>
        <w:t>）负责协调各项目相关部门配合开展工作，提供审判辅助事务咨询支持。</w:t>
      </w:r>
    </w:p>
    <w:p>
      <w:pPr>
        <w:pStyle w:val="null3"/>
        <w:ind w:firstLine="400"/>
      </w:pPr>
      <w:r>
        <w:rPr>
          <w:sz w:val="20"/>
        </w:rPr>
        <w:t>3</w:t>
      </w:r>
      <w:r>
        <w:rPr>
          <w:sz w:val="20"/>
        </w:rPr>
        <w:t>）配合乙方开展服务培训、业务培训、员工管理等事项。</w:t>
      </w:r>
    </w:p>
    <w:p>
      <w:pPr>
        <w:pStyle w:val="null3"/>
        <w:ind w:firstLine="400"/>
      </w:pPr>
      <w:r>
        <w:rPr>
          <w:sz w:val="20"/>
        </w:rPr>
        <w:t>4</w:t>
      </w:r>
      <w:r>
        <w:rPr>
          <w:sz w:val="20"/>
        </w:rPr>
        <w:t>）按约定时间向乙方支付服务管理费用。</w:t>
      </w:r>
    </w:p>
    <w:p>
      <w:pPr>
        <w:pStyle w:val="null3"/>
        <w:ind w:firstLine="400"/>
      </w:pPr>
      <w:r>
        <w:rPr>
          <w:sz w:val="20"/>
        </w:rPr>
        <w:t>5</w:t>
      </w:r>
      <w:r>
        <w:rPr>
          <w:sz w:val="20"/>
        </w:rPr>
        <w:t>）对乙方工作进行监督管理。</w:t>
      </w:r>
    </w:p>
    <w:p>
      <w:pPr>
        <w:pStyle w:val="null3"/>
      </w:pPr>
      <w:r>
        <w:rPr>
          <w:sz w:val="20"/>
        </w:rPr>
        <w:t>（二）乙方的权利与责任</w:t>
      </w:r>
    </w:p>
    <w:p>
      <w:pPr>
        <w:pStyle w:val="null3"/>
        <w:ind w:firstLine="400"/>
      </w:pPr>
      <w:r>
        <w:rPr>
          <w:sz w:val="20"/>
        </w:rPr>
        <w:t>1.</w:t>
      </w:r>
      <w:r>
        <w:rPr>
          <w:sz w:val="20"/>
        </w:rPr>
        <w:t>乙方按照合同约定保质保量向甲方提供合格的服务。</w:t>
      </w:r>
    </w:p>
    <w:p>
      <w:pPr>
        <w:pStyle w:val="null3"/>
        <w:ind w:firstLine="400"/>
      </w:pPr>
      <w:r>
        <w:rPr>
          <w:sz w:val="20"/>
        </w:rPr>
        <w:t>2.</w:t>
      </w:r>
      <w:r>
        <w:rPr>
          <w:sz w:val="20"/>
        </w:rPr>
        <w:t>乙方必须保证提供服务的团队人员的数量和素质满足履行本合同的要求。在按时保质保量地完成合同约定的工作后，如遇甲方对业务量需求的调整，服务期内乙方还有权利和义务对业务量标准按照甲方业务量的要求进行合理地调整，以达到服务的优化。</w:t>
      </w:r>
    </w:p>
    <w:p>
      <w:pPr>
        <w:pStyle w:val="null3"/>
        <w:ind w:firstLine="400"/>
      </w:pPr>
      <w:r>
        <w:rPr>
          <w:sz w:val="20"/>
        </w:rPr>
        <w:t>3.</w:t>
      </w:r>
      <w:r>
        <w:rPr>
          <w:sz w:val="20"/>
        </w:rPr>
        <w:t>乙方负责对甲方所提供的所有办公设备进行日常维护和保养。乙方应当正确使用甲方所提供的所有办公设备，如因乙方使用不当导致设备毁损的，乙方应当承担相应的赔偿责任。</w:t>
      </w:r>
    </w:p>
    <w:p>
      <w:pPr>
        <w:pStyle w:val="null3"/>
        <w:ind w:firstLine="400"/>
      </w:pPr>
      <w:r>
        <w:rPr>
          <w:sz w:val="20"/>
        </w:rPr>
        <w:t>4.</w:t>
      </w:r>
      <w:r>
        <w:rPr>
          <w:sz w:val="20"/>
        </w:rPr>
        <w:t>除服务项目实施地的水电费、物业管理费外，一般费用（管理费、装订胶水、装订线等）由乙方自行承担。</w:t>
      </w:r>
      <w:r>
        <w:rPr>
          <w:sz w:val="20"/>
        </w:rPr>
        <w:t xml:space="preserve">  </w:t>
      </w:r>
    </w:p>
    <w:p>
      <w:pPr>
        <w:pStyle w:val="null3"/>
        <w:ind w:firstLine="400"/>
      </w:pPr>
      <w:r>
        <w:rPr>
          <w:sz w:val="20"/>
        </w:rPr>
        <w:t>5.</w:t>
      </w:r>
      <w:r>
        <w:rPr>
          <w:sz w:val="20"/>
        </w:rPr>
        <w:t>乙方对其派驻工作人员应每年组织开展不低于</w:t>
      </w:r>
      <w:r>
        <w:rPr>
          <w:sz w:val="20"/>
        </w:rPr>
        <w:t>2</w:t>
      </w:r>
      <w:r>
        <w:rPr>
          <w:sz w:val="20"/>
        </w:rPr>
        <w:t>次的业务培训，并派员参加甲方组织的相关业务培训。乙方应建立完备的培训台账，以备随时查阅，保证培训工作规范可追溯。</w:t>
      </w:r>
    </w:p>
    <w:p>
      <w:pPr>
        <w:pStyle w:val="null3"/>
        <w:ind w:firstLine="400"/>
      </w:pPr>
      <w:r>
        <w:rPr>
          <w:sz w:val="20"/>
        </w:rPr>
        <w:t>6.</w:t>
      </w:r>
      <w:r>
        <w:rPr>
          <w:sz w:val="20"/>
        </w:rPr>
        <w:t>乙方应接受甲方的监督管理，对甲方提出的处理意见应当在三个工作日内答复。</w:t>
      </w:r>
    </w:p>
    <w:p>
      <w:pPr>
        <w:pStyle w:val="null3"/>
        <w:ind w:firstLine="400"/>
      </w:pPr>
      <w:r>
        <w:rPr>
          <w:sz w:val="20"/>
        </w:rPr>
        <w:t>7.</w:t>
      </w:r>
      <w:r>
        <w:rPr>
          <w:sz w:val="20"/>
        </w:rPr>
        <w:t>乙方负责完善工作人员的各项人力资源管理措施，设置专职人员负责工作人员的劳动关系管理，负责工作人员的招聘入职手续、人事档案管理、劳动纠纷处理、户籍管理、绩效考核、年终考评、职称评定、计划生育、离职手续、工作人员体检、各项社会保险及商业保险的投保、出险处理等日常管理事项，并将相关情况及时以书面形式向甲方反映、报告。乙方负责承担服务工作人员的工伤、人身意外、劳资纠纷、工作人员职务过错等造成的全部经济和法律责任。</w:t>
      </w:r>
    </w:p>
    <w:p>
      <w:pPr>
        <w:pStyle w:val="null3"/>
        <w:ind w:firstLine="400"/>
      </w:pPr>
      <w:r>
        <w:rPr>
          <w:sz w:val="20"/>
        </w:rPr>
        <w:t>8.</w:t>
      </w:r>
      <w:r>
        <w:rPr>
          <w:sz w:val="20"/>
        </w:rPr>
        <w:t>乙方负责按甲方规定标准及时向工作人员落实各项工资、福利项目，根据约定及时向工作人员发放工资。</w:t>
      </w:r>
    </w:p>
    <w:p>
      <w:pPr>
        <w:pStyle w:val="null3"/>
        <w:ind w:firstLine="400"/>
      </w:pPr>
      <w:r>
        <w:rPr>
          <w:sz w:val="20"/>
        </w:rPr>
        <w:t>9.</w:t>
      </w:r>
      <w:r>
        <w:rPr>
          <w:sz w:val="20"/>
        </w:rPr>
        <w:t>项目结束时，乙方需向甲方提供服务合同履行情况，出具相应的报告。</w:t>
      </w:r>
    </w:p>
    <w:p>
      <w:pPr>
        <w:pStyle w:val="null3"/>
        <w:ind w:firstLine="400"/>
      </w:pPr>
      <w:r>
        <w:rPr>
          <w:sz w:val="20"/>
        </w:rPr>
        <w:t>10.</w:t>
      </w:r>
      <w:r>
        <w:rPr>
          <w:sz w:val="20"/>
        </w:rPr>
        <w:t>在合同解除或终止后，乙方应及时向甲方返还相关办公设施、设备及相关数据、档案材料</w:t>
      </w:r>
      <w:r>
        <w:rPr>
          <w:sz w:val="20"/>
        </w:rPr>
        <w:t>,</w:t>
      </w:r>
      <w:r>
        <w:rPr>
          <w:sz w:val="20"/>
        </w:rPr>
        <w:t>并保证上述设施、设备处于正常可使用状态（设备设施的正常损耗除外），相关数据、档案材料完整无缺。</w:t>
      </w:r>
    </w:p>
    <w:p>
      <w:pPr>
        <w:pStyle w:val="null3"/>
        <w:ind w:firstLine="400"/>
      </w:pPr>
      <w:r>
        <w:rPr>
          <w:sz w:val="20"/>
        </w:rPr>
        <w:t>11.</w:t>
      </w:r>
      <w:r>
        <w:rPr>
          <w:sz w:val="20"/>
        </w:rPr>
        <w:t>对甲方出现未按要求及时支付管理费等违约事项时，乙方有权追究甲方的违约责任，但对工作成果不得进行留置。</w:t>
      </w:r>
    </w:p>
    <w:p>
      <w:pPr>
        <w:pStyle w:val="null3"/>
        <w:ind w:firstLine="400"/>
      </w:pPr>
      <w:r>
        <w:rPr>
          <w:sz w:val="20"/>
        </w:rPr>
        <w:t>12.</w:t>
      </w:r>
      <w:r>
        <w:rPr>
          <w:sz w:val="20"/>
        </w:rPr>
        <w:t>乙方应加强对工作人员及驻点管理人员的教育和管理，遵守甲方有关规章制度。对乙方工作人员及驻点管理人员在工作期间非因甲方原因造成的人身伤害及财产损失，由乙方承担责任。乙方的用工要符合国家的相关规定，乙方必须与招聘人员及时签订用工合同，并按照国家相关法律规定为招聘人员缴纳各项保险等。乙方与工作人员发生任何的经济、法律纠纷和人身损害赔偿等，由乙方自行解决。</w:t>
      </w:r>
    </w:p>
    <w:p>
      <w:pPr>
        <w:pStyle w:val="null3"/>
        <w:ind w:firstLine="400"/>
      </w:pPr>
      <w:r>
        <w:rPr>
          <w:sz w:val="20"/>
        </w:rPr>
        <w:t>13.</w:t>
      </w:r>
      <w:r>
        <w:rPr>
          <w:sz w:val="20"/>
        </w:rPr>
        <w:t>乙方支付给工作人员的工资，要符合国家和地方的相关规定，最低工资标准不得低于中山市最低工资标准，每月须按甲方支付的工资标准足额发放给工作人员，根据甲方的意见制定和完善各服务项目人员的考核办法，按甲方提供的考核结果对绩效工资进行二次分配，并按月支付。乙方要保证按国家和地方政府法律法规规定的时间给工作人员缴纳社保并发放工资。如乙方发生未准时支付工作人员工资的，须向甲方书面说明情况，甲方根据情况有权暂停支付相关管理服务费，由此引起的劳动纠纷由乙方负责承担相应的法律和经济责任。</w:t>
      </w:r>
    </w:p>
    <w:p>
      <w:pPr>
        <w:pStyle w:val="null3"/>
        <w:ind w:firstLine="400"/>
      </w:pPr>
      <w:r>
        <w:rPr>
          <w:sz w:val="20"/>
        </w:rPr>
        <w:t>14.</w:t>
      </w:r>
      <w:r>
        <w:rPr>
          <w:sz w:val="20"/>
        </w:rPr>
        <w:t>因乙方工作人员在工作期间造成甲方工作人员人身或财产损失、或第三人人身以及财产损失，导致甲方承担赔偿责任的，乙方应负责赔偿甲方的损失。</w:t>
      </w:r>
    </w:p>
    <w:p>
      <w:pPr>
        <w:pStyle w:val="null3"/>
        <w:ind w:firstLine="400"/>
      </w:pPr>
      <w:r>
        <w:rPr>
          <w:sz w:val="20"/>
        </w:rPr>
        <w:t>15.</w:t>
      </w:r>
      <w:r>
        <w:rPr>
          <w:sz w:val="20"/>
        </w:rPr>
        <w:t>乙方应保证派驻甲方工作人员的稳定，工作人员不得迟到、早退、随意旷工，凡请假者除经乙方批准外，需告知甲方管理人员，保证在甲方工作时间不能缺岗，否则甲方有权按实际影响后果对乙方要求赔偿。</w:t>
      </w:r>
    </w:p>
    <w:p>
      <w:pPr>
        <w:pStyle w:val="null3"/>
        <w:ind w:firstLine="400"/>
      </w:pPr>
      <w:r>
        <w:rPr>
          <w:sz w:val="20"/>
        </w:rPr>
        <w:t>16.</w:t>
      </w:r>
      <w:r>
        <w:rPr>
          <w:sz w:val="20"/>
        </w:rPr>
        <w:t>乙方应协助、配合甲方对审判辅助事务工作人员开展安全排查工作。</w:t>
      </w:r>
    </w:p>
    <w:p>
      <w:pPr>
        <w:pStyle w:val="null3"/>
        <w:ind w:firstLine="400"/>
      </w:pPr>
      <w:r>
        <w:rPr>
          <w:sz w:val="20"/>
        </w:rPr>
        <w:t>17.</w:t>
      </w:r>
      <w:r>
        <w:rPr>
          <w:sz w:val="20"/>
        </w:rPr>
        <w:t>乙方应郑重承诺，与后续中标方无缝对接。项目完成后，确保档案资料在指定的档案管理系统中可顺利查询调用，保障采购方工作连续高效。</w:t>
      </w:r>
    </w:p>
    <w:p>
      <w:pPr>
        <w:pStyle w:val="null3"/>
        <w:ind w:firstLine="400"/>
      </w:pPr>
      <w:r>
        <w:rPr>
          <w:sz w:val="20"/>
        </w:rPr>
        <w:t xml:space="preserve"> (</w:t>
      </w:r>
      <w:r>
        <w:rPr>
          <w:sz w:val="20"/>
        </w:rPr>
        <w:t>其他招标文件涉及的内容</w:t>
      </w:r>
      <w:r>
        <w:rPr>
          <w:sz w:val="20"/>
        </w:rPr>
        <w:t>)</w:t>
      </w:r>
    </w:p>
    <w:p>
      <w:pPr>
        <w:pStyle w:val="null3"/>
        <w:ind w:firstLine="400"/>
      </w:pPr>
      <w:r>
        <w:rPr>
          <w:sz w:val="20"/>
        </w:rPr>
        <w:t>九、技术支持和售后服务</w:t>
      </w:r>
    </w:p>
    <w:p>
      <w:pPr>
        <w:pStyle w:val="null3"/>
        <w:ind w:firstLine="400"/>
      </w:pPr>
      <w:r>
        <w:rPr>
          <w:sz w:val="20"/>
        </w:rPr>
        <w:t>乙方应确保自项目整体通过验收合格之日起，提供为期一年的质量保证期服务（费用已包含在合同价款中）。在质量保证期内及期满后，乙方均需承担其实施项目的</w:t>
      </w:r>
      <w:r>
        <w:rPr>
          <w:sz w:val="20"/>
        </w:rPr>
        <w:t>24</w:t>
      </w:r>
      <w:r>
        <w:rPr>
          <w:sz w:val="20"/>
        </w:rPr>
        <w:t>小时连续技术支持服务，全面满足需求。乙方需在</w:t>
      </w:r>
      <w:r>
        <w:rPr>
          <w:sz w:val="20"/>
        </w:rPr>
        <w:t>2</w:t>
      </w:r>
      <w:r>
        <w:rPr>
          <w:sz w:val="20"/>
        </w:rPr>
        <w:t>小时内到场，并确保第二个工作日内解决故障；若无法按时完成，则需采取应急措施，确保甲方正常运行。在质量保证期结束后，技术支持与维护服务应按成本价收费。若在三年内甲方因自身系统升级需求进行档案扫描数据迁移，乙方应配合系统开发商提供数据迁移服务（费用已包含在合同价款中）。同时，对于故障光盘，乙方应提供补充刻录服务。乙方需列出详细的售后服务计划，其内容包括服务期内和服务期后的售后服务计划。</w:t>
      </w:r>
    </w:p>
    <w:p>
      <w:pPr>
        <w:pStyle w:val="null3"/>
        <w:ind w:firstLine="400"/>
      </w:pPr>
      <w:r>
        <w:rPr>
          <w:sz w:val="20"/>
        </w:rPr>
        <w:t>十、违约与赔偿责任</w:t>
      </w:r>
    </w:p>
    <w:p>
      <w:pPr>
        <w:pStyle w:val="null3"/>
        <w:ind w:firstLine="400"/>
      </w:pPr>
      <w:r>
        <w:rPr>
          <w:sz w:val="20"/>
        </w:rPr>
        <w:t>1</w:t>
      </w:r>
      <w:r>
        <w:rPr>
          <w:sz w:val="20"/>
        </w:rPr>
        <w:t>）合同生效后，合同各方应严格遵守合同的条款，全面履行合同约定的义务，任何一方不得擅自变更或解除合同。</w:t>
      </w:r>
    </w:p>
    <w:p>
      <w:pPr>
        <w:pStyle w:val="null3"/>
        <w:ind w:firstLine="400"/>
      </w:pPr>
      <w:r>
        <w:rPr>
          <w:sz w:val="20"/>
        </w:rPr>
        <w:t>2</w:t>
      </w:r>
      <w:r>
        <w:rPr>
          <w:sz w:val="20"/>
        </w:rPr>
        <w:t>）甲、乙双方的任何一方不履行合同或履行合同义务不符合约定的条件，即属违约。</w:t>
      </w:r>
    </w:p>
    <w:p>
      <w:pPr>
        <w:pStyle w:val="null3"/>
        <w:ind w:firstLine="400"/>
      </w:pPr>
      <w:r>
        <w:rPr>
          <w:sz w:val="20"/>
        </w:rPr>
        <w:t>3</w:t>
      </w:r>
      <w:r>
        <w:rPr>
          <w:sz w:val="20"/>
        </w:rPr>
        <w:t>）当一方违约时，违约方应向另一方支付合同价款总额的</w:t>
      </w:r>
      <w:r>
        <w:rPr>
          <w:sz w:val="20"/>
        </w:rPr>
        <w:t>10%</w:t>
      </w:r>
      <w:r>
        <w:rPr>
          <w:sz w:val="20"/>
        </w:rPr>
        <w:t>作为违约金，并且负责赔偿因其违约给另一方造成相应损失，赔偿金额一般不超过合同价款总额的</w:t>
      </w:r>
      <w:r>
        <w:rPr>
          <w:sz w:val="20"/>
        </w:rPr>
        <w:t>20%</w:t>
      </w:r>
      <w:r>
        <w:rPr>
          <w:sz w:val="20"/>
        </w:rPr>
        <w:t>。</w:t>
      </w:r>
    </w:p>
    <w:p>
      <w:pPr>
        <w:pStyle w:val="null3"/>
        <w:ind w:firstLine="400"/>
      </w:pPr>
      <w:r>
        <w:rPr>
          <w:sz w:val="20"/>
        </w:rPr>
        <w:t>4</w:t>
      </w:r>
      <w:r>
        <w:rPr>
          <w:sz w:val="20"/>
        </w:rPr>
        <w:t>）甲、乙双方的任何一方由于法定事由不能履行合同时，应向对方通报不能履行或不能完全履行的理由，在取得有关主管机关证明后，双方友好协商允许延期履行、部分履行或者不履行合同，并根据法律规定可部分或全部免除其责任。</w:t>
      </w:r>
    </w:p>
    <w:p>
      <w:pPr>
        <w:pStyle w:val="null3"/>
        <w:ind w:firstLine="400"/>
      </w:pPr>
      <w:r>
        <w:rPr>
          <w:sz w:val="20"/>
        </w:rPr>
        <w:t>5</w:t>
      </w:r>
      <w:r>
        <w:rPr>
          <w:sz w:val="20"/>
        </w:rPr>
        <w:t>）乙方未按照合同规定提供服务或服务质量未达要求而导致甲方蒙受经济损失的，乙方应向甲方赔偿经济损失。</w:t>
      </w:r>
    </w:p>
    <w:p>
      <w:pPr>
        <w:pStyle w:val="null3"/>
        <w:ind w:firstLine="400"/>
      </w:pPr>
      <w:r>
        <w:rPr>
          <w:sz w:val="20"/>
        </w:rPr>
        <w:t>6</w:t>
      </w:r>
      <w:r>
        <w:rPr>
          <w:sz w:val="20"/>
        </w:rPr>
        <w:t>）乙方在合同履行过程中如发生遗失、复制、泄露、破损等安全事故，全部由乙方负责。甲方有权暂停乙方全部工作，按有关法规追究法律责任，并责令乙方进行整改，整改通过后方能恢复工作，所耽误的工作进度由乙方自行负责；情节特别严重的，将追究成乙方相应的刑事责任，并视为乙方违约，由此造成甲方的一切损失由乙方承担。</w:t>
      </w:r>
    </w:p>
    <w:p>
      <w:pPr>
        <w:pStyle w:val="null3"/>
        <w:ind w:firstLine="400"/>
      </w:pPr>
      <w:r>
        <w:rPr>
          <w:sz w:val="20"/>
        </w:rPr>
        <w:t>7</w:t>
      </w:r>
      <w:r>
        <w:rPr>
          <w:sz w:val="20"/>
        </w:rPr>
        <w:t>）因甲方使用的是财政资金，乙方未在在前款约定时间内提交发票，或其他归于乙方的原因导致合同价款无法支付或支付不成功，不认为甲方违约，一切责任由乙方自行承担。</w:t>
      </w:r>
    </w:p>
    <w:p>
      <w:pPr>
        <w:pStyle w:val="null3"/>
        <w:ind w:firstLine="400"/>
      </w:pPr>
      <w:r>
        <w:rPr>
          <w:sz w:val="20"/>
        </w:rPr>
        <w:t>8</w:t>
      </w:r>
      <w:r>
        <w:rPr>
          <w:sz w:val="20"/>
        </w:rPr>
        <w:t>）因甲方使用的是财政资金，若本项目资金无法跨年结转，本项目自动终止，甲方无需承担责任。合同期内，若乙方无法按时、按质完成甲方已支付价款对应工作量，则视为乙方违约。</w:t>
      </w:r>
    </w:p>
    <w:p>
      <w:pPr>
        <w:pStyle w:val="null3"/>
        <w:ind w:firstLine="400"/>
      </w:pPr>
      <w:r>
        <w:rPr>
          <w:sz w:val="20"/>
        </w:rPr>
        <w:t>9</w:t>
      </w:r>
      <w:r>
        <w:rPr>
          <w:sz w:val="20"/>
        </w:rPr>
        <w:t>）如因甲方上级另有政策而中止本合同或顺延本合同的，以甲方具体通知为准。甲方无义务承担由此而产生的任何责任和费用。当甲方通知顺延合同时，乙方有权选择是否继续履行顺延合同。</w:t>
      </w:r>
    </w:p>
    <w:p>
      <w:pPr>
        <w:pStyle w:val="null3"/>
        <w:ind w:firstLine="400"/>
      </w:pPr>
      <w:r>
        <w:rPr>
          <w:sz w:val="20"/>
        </w:rPr>
        <w:t>10</w:t>
      </w:r>
      <w:r>
        <w:rPr>
          <w:sz w:val="20"/>
        </w:rPr>
        <w:t>）招标文件“采购需求”部分载明的处罚情形。</w:t>
      </w:r>
    </w:p>
    <w:p>
      <w:pPr>
        <w:pStyle w:val="null3"/>
      </w:pPr>
      <w:r>
        <w:rPr>
          <w:sz w:val="20"/>
        </w:rPr>
        <w:t>十一、不可抗力</w:t>
      </w:r>
    </w:p>
    <w:p>
      <w:pPr>
        <w:pStyle w:val="null3"/>
        <w:ind w:firstLine="400"/>
      </w:pPr>
      <w:r>
        <w:rPr>
          <w:sz w:val="20"/>
        </w:rPr>
        <w:t>1</w:t>
      </w:r>
      <w:r>
        <w:rPr>
          <w:sz w:val="20"/>
        </w:rPr>
        <w:t>）由于战争、火灾、水灾、台风、地震、疫情等依法视为不可抗拒之因素而直接影响本合同的履行或者不能按照合同的约定履行时，遇有上述不可抗力的原因双方协商解决。但遇有上述不可抗力的一方应立即书面通知对方，并在</w:t>
      </w:r>
      <w:r>
        <w:rPr>
          <w:sz w:val="20"/>
        </w:rPr>
        <w:t>7</w:t>
      </w:r>
      <w:r>
        <w:rPr>
          <w:sz w:val="20"/>
        </w:rPr>
        <w:t>天之内提供不可抗力的详细情况及合同不能履行，或者部分不能履行，或者需要延期履行的理由和有效的证明文件（有关主管机关证明）。按不可抗力对履行合同影响的程度，由双方协商决定是否解除合同，或者部分免除履行合同的义务，或者延期履行合同。一方迟延履行本合同时发生不可抗力的，迟延方的合同义务不能免除。受到不可抗力影响的一方，应尽可能地采取合理的行为和适当的措施减轻不可抗力对本合同的履行所造成的影响。没有采取适当措施致使损失扩大的，该方不得就扩大损失的部分要求免除或赔偿。</w:t>
      </w:r>
    </w:p>
    <w:p>
      <w:pPr>
        <w:pStyle w:val="null3"/>
        <w:ind w:firstLine="400"/>
      </w:pPr>
      <w:r>
        <w:rPr>
          <w:sz w:val="20"/>
        </w:rPr>
        <w:t>十、争端的解决</w:t>
      </w:r>
    </w:p>
    <w:p>
      <w:pPr>
        <w:pStyle w:val="null3"/>
        <w:ind w:firstLine="400"/>
      </w:pPr>
      <w:r>
        <w:rPr>
          <w:sz w:val="20"/>
        </w:rPr>
        <w:t>在履行合同的过程中，甲、乙双方如产生合同纠纷，协商不成的情况下，可向合同履行地人民法院提起诉讼。</w:t>
      </w:r>
    </w:p>
    <w:p>
      <w:pPr>
        <w:pStyle w:val="null3"/>
        <w:ind w:firstLine="400"/>
      </w:pPr>
      <w:r>
        <w:rPr>
          <w:sz w:val="20"/>
        </w:rPr>
        <w:t>十一、适用法律</w:t>
      </w:r>
    </w:p>
    <w:p>
      <w:pPr>
        <w:pStyle w:val="null3"/>
        <w:ind w:firstLine="400"/>
      </w:pPr>
      <w:r>
        <w:rPr>
          <w:sz w:val="20"/>
        </w:rPr>
        <w:t>本合同按照中华人民共和国的法律进行解释。</w:t>
      </w:r>
    </w:p>
    <w:p>
      <w:pPr>
        <w:pStyle w:val="null3"/>
        <w:ind w:firstLine="400"/>
      </w:pPr>
      <w:r>
        <w:rPr>
          <w:sz w:val="20"/>
        </w:rPr>
        <w:t>十二、合同生效</w:t>
      </w:r>
    </w:p>
    <w:p>
      <w:pPr>
        <w:pStyle w:val="null3"/>
        <w:ind w:firstLine="400"/>
      </w:pPr>
      <w:r>
        <w:rPr>
          <w:sz w:val="20"/>
        </w:rPr>
        <w:t>合同经双方授权代表签字盖章，合同签署日期以较迟签注的日期为准。</w:t>
      </w:r>
    </w:p>
    <w:p>
      <w:pPr>
        <w:pStyle w:val="null3"/>
        <w:ind w:firstLine="400"/>
      </w:pPr>
      <w:r>
        <w:rPr>
          <w:sz w:val="20"/>
        </w:rPr>
        <w:t>十三、其它</w:t>
      </w:r>
    </w:p>
    <w:p>
      <w:pPr>
        <w:pStyle w:val="null3"/>
        <w:ind w:firstLine="400"/>
      </w:pPr>
      <w:r>
        <w:rPr>
          <w:sz w:val="20"/>
        </w:rPr>
        <w:t>1</w:t>
      </w:r>
      <w:r>
        <w:rPr>
          <w:sz w:val="20"/>
        </w:rPr>
        <w:t>）中标通知书、投标文件、招标文件及本合同之所有附件均为本合同的有效组成部分，与本合同具有同样法律效力，解释的顺序以文件生成时间在后的为准。</w:t>
      </w:r>
    </w:p>
    <w:p>
      <w:pPr>
        <w:pStyle w:val="null3"/>
        <w:ind w:firstLine="400"/>
      </w:pPr>
      <w:r>
        <w:rPr>
          <w:sz w:val="20"/>
        </w:rPr>
        <w:t>2</w:t>
      </w:r>
      <w:r>
        <w:rPr>
          <w:sz w:val="20"/>
        </w:rPr>
        <w:t>）在执行本合同的过程中，所有经甲乙双方签署确认的文件（包括会议纪要、补充协议、合同修改书、往来信函等）均为本合同的有效组成部分，其生效日期为双方均签字盖章或确认之日期。</w:t>
      </w:r>
    </w:p>
    <w:p>
      <w:pPr>
        <w:pStyle w:val="null3"/>
        <w:ind w:firstLine="400"/>
      </w:pPr>
      <w:r>
        <w:rPr>
          <w:sz w:val="20"/>
        </w:rPr>
        <w:t>3</w:t>
      </w:r>
      <w:r>
        <w:rPr>
          <w:sz w:val="20"/>
        </w:rPr>
        <w:t>）除甲方事先以书面形式确认同意外，乙方不得部分或全部转让其应履行的合同项下的义务。</w:t>
      </w:r>
    </w:p>
    <w:p>
      <w:pPr>
        <w:pStyle w:val="null3"/>
        <w:ind w:firstLine="400"/>
      </w:pPr>
      <w:r>
        <w:rPr>
          <w:sz w:val="20"/>
        </w:rPr>
        <w:t>本合同一式份，甲乙双方各执</w:t>
      </w:r>
      <w:r>
        <w:rPr>
          <w:sz w:val="20"/>
          <w:u w:val="single"/>
        </w:rPr>
        <w:t xml:space="preserve">    </w:t>
      </w:r>
      <w:r>
        <w:rPr>
          <w:sz w:val="20"/>
        </w:rPr>
        <w:t>份、代理机构执壹份。</w:t>
      </w:r>
    </w:p>
    <w:p>
      <w:pPr>
        <w:pStyle w:val="null3"/>
        <w:ind w:firstLine="400"/>
      </w:pPr>
      <w:r>
        <w:rPr>
          <w:sz w:val="20"/>
        </w:rPr>
        <w:t>本合同合计页</w:t>
      </w:r>
      <w:r>
        <w:rPr>
          <w:sz w:val="20"/>
        </w:rPr>
        <w:t>A4</w:t>
      </w:r>
      <w:r>
        <w:rPr>
          <w:sz w:val="20"/>
        </w:rPr>
        <w:t>纸张，缺页之合同为无效合同。</w:t>
      </w:r>
    </w:p>
    <w:p>
      <w:pPr>
        <w:pStyle w:val="null3"/>
      </w:pPr>
      <w:r>
        <w:rPr>
          <w:sz w:val="20"/>
        </w:rPr>
        <w:t>（以下无正文）</w:t>
      </w:r>
    </w:p>
    <w:p>
      <w:pPr>
        <w:pStyle w:val="null3"/>
      </w:pPr>
      <w:r>
        <w:rPr>
          <w:sz w:val="20"/>
        </w:rPr>
        <w:t>甲方（盖章）：</w:t>
      </w:r>
      <w:r>
        <w:rPr>
          <w:sz w:val="20"/>
        </w:rPr>
        <w:t xml:space="preserve">        </w:t>
      </w:r>
      <w:r>
        <w:rPr>
          <w:sz w:val="20"/>
        </w:rPr>
        <w:t>乙方（盖章）：</w:t>
      </w:r>
    </w:p>
    <w:p>
      <w:pPr>
        <w:pStyle w:val="null3"/>
      </w:pPr>
      <w:r>
        <w:rPr>
          <w:sz w:val="20"/>
        </w:rPr>
        <w:t>甲方代表（签字）：</w:t>
      </w:r>
      <w:r>
        <w:rPr>
          <w:sz w:val="20"/>
        </w:rPr>
        <w:t xml:space="preserve">    </w:t>
      </w:r>
      <w:r>
        <w:rPr>
          <w:sz w:val="20"/>
        </w:rPr>
        <w:t>乙方代表（签字）：</w:t>
      </w:r>
    </w:p>
    <w:p>
      <w:pPr>
        <w:pStyle w:val="null3"/>
      </w:pPr>
      <w:r>
        <w:rPr>
          <w:sz w:val="20"/>
        </w:rPr>
        <w:t>地址：</w:t>
      </w:r>
      <w:r>
        <w:rPr>
          <w:sz w:val="20"/>
        </w:rPr>
        <w:t xml:space="preserve">                 </w:t>
      </w:r>
      <w:r>
        <w:rPr>
          <w:sz w:val="20"/>
        </w:rPr>
        <w:t>地址：</w:t>
      </w:r>
    </w:p>
    <w:p>
      <w:pPr>
        <w:pStyle w:val="null3"/>
      </w:pPr>
      <w:r>
        <w:rPr>
          <w:sz w:val="20"/>
        </w:rPr>
        <w:t>邮政编码：</w:t>
      </w:r>
      <w:r>
        <w:rPr>
          <w:sz w:val="20"/>
        </w:rPr>
        <w:t xml:space="preserve">             </w:t>
      </w:r>
      <w:r>
        <w:rPr>
          <w:sz w:val="20"/>
        </w:rPr>
        <w:t>邮政编码：</w:t>
      </w:r>
    </w:p>
    <w:p>
      <w:pPr>
        <w:pStyle w:val="null3"/>
      </w:pPr>
      <w:r>
        <w:rPr>
          <w:sz w:val="20"/>
        </w:rPr>
        <w:t>电话：</w:t>
      </w:r>
      <w:r>
        <w:rPr>
          <w:sz w:val="20"/>
        </w:rPr>
        <w:t xml:space="preserve">                 </w:t>
      </w:r>
      <w:r>
        <w:rPr>
          <w:sz w:val="20"/>
        </w:rPr>
        <w:t>电话：</w:t>
      </w:r>
    </w:p>
    <w:p>
      <w:pPr>
        <w:pStyle w:val="null3"/>
      </w:pPr>
      <w:r>
        <w:rPr>
          <w:sz w:val="20"/>
        </w:rPr>
        <w:t>传真：</w:t>
      </w:r>
      <w:r>
        <w:rPr>
          <w:sz w:val="20"/>
        </w:rPr>
        <w:t xml:space="preserve">                 </w:t>
      </w:r>
      <w:r>
        <w:rPr>
          <w:sz w:val="20"/>
        </w:rPr>
        <w:t>传真：</w:t>
      </w:r>
    </w:p>
    <w:p>
      <w:pPr>
        <w:pStyle w:val="null3"/>
      </w:pPr>
      <w:r>
        <w:rPr>
          <w:sz w:val="20"/>
        </w:rPr>
        <w:t>开户银行：</w:t>
      </w:r>
      <w:r>
        <w:rPr>
          <w:sz w:val="20"/>
        </w:rPr>
        <w:t xml:space="preserve">             </w:t>
      </w:r>
      <w:r>
        <w:rPr>
          <w:sz w:val="20"/>
        </w:rPr>
        <w:t>开户银行：</w:t>
      </w:r>
    </w:p>
    <w:p>
      <w:pPr>
        <w:pStyle w:val="null3"/>
      </w:pPr>
      <w:r>
        <w:rPr>
          <w:sz w:val="20"/>
        </w:rPr>
        <w:t>开户账号：</w:t>
      </w:r>
      <w:r>
        <w:rPr>
          <w:sz w:val="20"/>
        </w:rPr>
        <w:t xml:space="preserve">             </w:t>
      </w:r>
      <w:r>
        <w:rPr>
          <w:sz w:val="20"/>
        </w:rPr>
        <w:t>开户帐号：</w:t>
      </w:r>
    </w:p>
    <w:p>
      <w:pPr>
        <w:pStyle w:val="null3"/>
      </w:pPr>
      <w:r>
        <w:rPr>
          <w:sz w:val="20"/>
        </w:rPr>
        <w:t>日期：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440001-2025-03952</w:t>
      </w:r>
    </w:p>
    <w:p>
      <w:pPr>
        <w:pStyle w:val="null3"/>
        <w:jc w:val="center"/>
        <w:outlineLvl w:val="3"/>
      </w:pPr>
      <w:r>
        <w:rPr>
          <w:sz w:val="24"/>
          <w:b/>
        </w:rPr>
        <w:t>采购项目编号：</w:t>
      </w:r>
      <w:r>
        <w:rPr>
          <w:sz w:val="24"/>
          <w:b/>
        </w:rPr>
        <w:t>ZZ22501338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广东省中山市中级人民法院2025年电子卷宗随案同步生成及档案管理和诉讼事务服务项目</w:t>
      </w:r>
      <w:r>
        <w:rPr>
          <w:u w:val="single"/>
        </w:rPr>
        <w:t>”</w:t>
      </w:r>
      <w:r>
        <w:rPr/>
        <w:t>项目的招标[采购项目编号为：</w:t>
      </w:r>
      <w:r>
        <w:rPr>
          <w:u w:val="single"/>
        </w:rPr>
        <w:t>ZZ22501338</w:t>
      </w:r>
      <w:r>
        <w:rPr/>
        <w:t>]，我方愿参与投标。</w:t>
      </w:r>
    </w:p>
    <w:p>
      <w:pPr>
        <w:pStyle w:val="null3"/>
        <w:ind w:firstLine="480"/>
      </w:pPr>
      <w:r>
        <w:rPr/>
        <w:t>我方确认收到贵方提供的</w:t>
      </w:r>
      <w:r>
        <w:rPr>
          <w:u w:val="single"/>
        </w:rPr>
        <w:t>“</w:t>
      </w:r>
      <w:r>
        <w:rPr>
          <w:u w:val="single"/>
        </w:rPr>
        <w:t>广东省中山市中级人民法院2025年电子卷宗随案同步生成及档案管理和诉讼事务服务项目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广东省中山市中级人民法院2025年电子卷宗随案同步生成及档案管理和诉讼事务服务项目</w:t>
      </w:r>
      <w:r>
        <w:rPr/>
        <w:t>”项目采购[采购项目编号为</w:t>
      </w:r>
      <w:r>
        <w:rPr/>
        <w:t>ZZ22501338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广东省中山市中级人民法院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广东省中山市中级人民法院2025年电子卷宗随案同步生成及档案管理和诉讼事务服务项目</w:t>
      </w:r>
      <w:r>
        <w:rPr/>
        <w:t>招标中获中标（采购项目编号：</w:t>
      </w:r>
      <w:r>
        <w:rPr/>
        <w:t>ZZ22501338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广东省中山市中级人民法院2025年电子卷宗随案同步生成及档案管理和诉讼事务服务项目</w:t>
      </w:r>
      <w:r>
        <w:rPr/>
        <w:t>”项目（采购项目编号：</w:t>
      </w:r>
      <w:r>
        <w:rPr/>
        <w:t>ZZ22501338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