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28"/>
          <w:highlight w:val="none"/>
        </w:rPr>
      </w:pPr>
      <w:r>
        <w:rPr>
          <w:b/>
          <w:color w:val="auto"/>
          <w:sz w:val="36"/>
          <w:highlight w:val="none"/>
        </w:rPr>
        <w:t>采购需求</w:t>
      </w:r>
    </w:p>
    <w:p>
      <w:pPr>
        <w:rPr>
          <w:rFonts w:hint="eastAsia"/>
          <w:color w:val="auto"/>
          <w:highlight w:val="none"/>
        </w:rPr>
      </w:pPr>
      <w:r>
        <w:rPr>
          <w:b/>
          <w:color w:val="auto"/>
          <w:sz w:val="28"/>
          <w:highlight w:val="none"/>
        </w:rPr>
        <w:t>一、项目概况：</w:t>
      </w:r>
    </w:p>
    <w:p>
      <w:pPr>
        <w:ind w:firstLine="420" w:firstLineChars="200"/>
        <w:rPr>
          <w:color w:val="auto"/>
          <w:highlight w:val="none"/>
        </w:rPr>
      </w:pPr>
      <w:r>
        <w:rPr>
          <w:rFonts w:hint="eastAsia"/>
          <w:color w:val="auto"/>
          <w:highlight w:val="none"/>
        </w:rPr>
        <w:t>采购人虚拟化平台及分布式储存设备老旧，故障率高。虚拟化平台在用的两台IBM V5000存储已使用超过9年，IBM已不再为此型号存储提供配件，设备故障后只能使用渠道配件，可用性没有</w:t>
      </w:r>
      <w:r>
        <w:rPr>
          <w:rFonts w:hint="eastAsia"/>
          <w:color w:val="auto"/>
          <w:highlight w:val="none"/>
          <w:lang w:val="en-US" w:eastAsia="zh-CN"/>
        </w:rPr>
        <w:t>保障</w:t>
      </w:r>
      <w:r>
        <w:rPr>
          <w:rFonts w:hint="eastAsia"/>
          <w:color w:val="auto"/>
          <w:highlight w:val="none"/>
        </w:rPr>
        <w:t>，因此近年来故障频发出现。虚拟化平台存储存在单点故障风险，且虚拟化平台主机群集虽有容灾属性但在同一个机房，一旦有意外，则可能会导致医院业务长时间中断，甚至存在数据丢失的风险。随着业务增长，虚拟化计算资源、存储资源紧缺。存储空间严重不足，不能满足日常业务需要。</w:t>
      </w:r>
    </w:p>
    <w:p>
      <w:pPr>
        <w:ind w:firstLine="420" w:firstLineChars="200"/>
        <w:rPr>
          <w:color w:val="auto"/>
          <w:highlight w:val="none"/>
        </w:rPr>
      </w:pPr>
      <w:r>
        <w:rPr>
          <w:rFonts w:hint="eastAsia"/>
          <w:color w:val="auto"/>
          <w:highlight w:val="none"/>
        </w:rPr>
        <w:t>原有设备清单：</w:t>
      </w:r>
    </w:p>
    <w:tbl>
      <w:tblPr>
        <w:tblStyle w:val="4"/>
        <w:tblW w:w="8075" w:type="dxa"/>
        <w:jc w:val="center"/>
        <w:tblLayout w:type="autofit"/>
        <w:tblCellMar>
          <w:top w:w="0" w:type="dxa"/>
          <w:left w:w="108" w:type="dxa"/>
          <w:bottom w:w="0" w:type="dxa"/>
          <w:right w:w="108" w:type="dxa"/>
        </w:tblCellMar>
      </w:tblPr>
      <w:tblGrid>
        <w:gridCol w:w="3114"/>
        <w:gridCol w:w="2977"/>
        <w:gridCol w:w="1984"/>
      </w:tblGrid>
      <w:tr>
        <w:tblPrEx>
          <w:tblCellMar>
            <w:top w:w="0" w:type="dxa"/>
            <w:left w:w="108" w:type="dxa"/>
            <w:bottom w:w="0" w:type="dxa"/>
            <w:right w:w="108" w:type="dxa"/>
          </w:tblCellMar>
        </w:tblPrEx>
        <w:trPr>
          <w:trHeight w:val="288" w:hRule="atLeast"/>
          <w:jc w:val="center"/>
        </w:trPr>
        <w:tc>
          <w:tcPr>
            <w:tcW w:w="311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硬件类型</w:t>
            </w:r>
          </w:p>
        </w:tc>
        <w:tc>
          <w:tcPr>
            <w:tcW w:w="2977"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型号</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备注</w:t>
            </w:r>
          </w:p>
        </w:tc>
      </w:tr>
      <w:tr>
        <w:tblPrEx>
          <w:tblCellMar>
            <w:top w:w="0" w:type="dxa"/>
            <w:left w:w="108" w:type="dxa"/>
            <w:bottom w:w="0" w:type="dxa"/>
            <w:right w:w="108" w:type="dxa"/>
          </w:tblCellMar>
        </w:tblPrEx>
        <w:trPr>
          <w:trHeight w:val="288" w:hRule="atLeast"/>
          <w:jc w:val="center"/>
        </w:trPr>
        <w:tc>
          <w:tcPr>
            <w:tcW w:w="311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服务区计算资源群集1</w:t>
            </w:r>
          </w:p>
        </w:tc>
        <w:tc>
          <w:tcPr>
            <w:tcW w:w="2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System x3850 X6</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r>
      <w:tr>
        <w:trPr>
          <w:trHeight w:val="288" w:hRule="atLeast"/>
          <w:jc w:val="center"/>
        </w:trPr>
        <w:tc>
          <w:tcPr>
            <w:tcW w:w="311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c>
          <w:tcPr>
            <w:tcW w:w="2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System x3850 X6</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r>
      <w:tr>
        <w:tblPrEx>
          <w:tblCellMar>
            <w:top w:w="0" w:type="dxa"/>
            <w:left w:w="108" w:type="dxa"/>
            <w:bottom w:w="0" w:type="dxa"/>
            <w:right w:w="108" w:type="dxa"/>
          </w:tblCellMar>
        </w:tblPrEx>
        <w:trPr>
          <w:trHeight w:val="288" w:hRule="atLeast"/>
          <w:jc w:val="center"/>
        </w:trPr>
        <w:tc>
          <w:tcPr>
            <w:tcW w:w="311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c>
          <w:tcPr>
            <w:tcW w:w="2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System x3850 X6</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r>
      <w:tr>
        <w:tblPrEx>
          <w:tblCellMar>
            <w:top w:w="0" w:type="dxa"/>
            <w:left w:w="108" w:type="dxa"/>
            <w:bottom w:w="0" w:type="dxa"/>
            <w:right w:w="108" w:type="dxa"/>
          </w:tblCellMar>
        </w:tblPrEx>
        <w:trPr>
          <w:trHeight w:val="288" w:hRule="atLeast"/>
          <w:jc w:val="center"/>
        </w:trPr>
        <w:tc>
          <w:tcPr>
            <w:tcW w:w="311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c>
          <w:tcPr>
            <w:tcW w:w="2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PowerEdge R740</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r>
      <w:tr>
        <w:tblPrEx>
          <w:tblCellMar>
            <w:top w:w="0" w:type="dxa"/>
            <w:left w:w="108" w:type="dxa"/>
            <w:bottom w:w="0" w:type="dxa"/>
            <w:right w:w="108" w:type="dxa"/>
          </w:tblCellMar>
        </w:tblPrEx>
        <w:trPr>
          <w:trHeight w:val="288" w:hRule="atLeast"/>
          <w:jc w:val="center"/>
        </w:trPr>
        <w:tc>
          <w:tcPr>
            <w:tcW w:w="311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c>
          <w:tcPr>
            <w:tcW w:w="2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PowerEdge R940xa</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r>
      <w:tr>
        <w:tblPrEx>
          <w:tblCellMar>
            <w:top w:w="0" w:type="dxa"/>
            <w:left w:w="108" w:type="dxa"/>
            <w:bottom w:w="0" w:type="dxa"/>
            <w:right w:w="108" w:type="dxa"/>
          </w:tblCellMar>
        </w:tblPrEx>
        <w:trPr>
          <w:trHeight w:val="288" w:hRule="atLeast"/>
          <w:jc w:val="center"/>
        </w:trPr>
        <w:tc>
          <w:tcPr>
            <w:tcW w:w="311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c>
          <w:tcPr>
            <w:tcW w:w="2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PowerEdge R940xa</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r>
      <w:tr>
        <w:tblPrEx>
          <w:tblCellMar>
            <w:top w:w="0" w:type="dxa"/>
            <w:left w:w="108" w:type="dxa"/>
            <w:bottom w:w="0" w:type="dxa"/>
            <w:right w:w="108" w:type="dxa"/>
          </w:tblCellMar>
        </w:tblPrEx>
        <w:trPr>
          <w:trHeight w:val="288" w:hRule="atLeast"/>
          <w:jc w:val="center"/>
        </w:trPr>
        <w:tc>
          <w:tcPr>
            <w:tcW w:w="311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c>
          <w:tcPr>
            <w:tcW w:w="2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PowerEdge R940xa</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r>
      <w:tr>
        <w:tblPrEx>
          <w:tblCellMar>
            <w:top w:w="0" w:type="dxa"/>
            <w:left w:w="108" w:type="dxa"/>
            <w:bottom w:w="0" w:type="dxa"/>
            <w:right w:w="108" w:type="dxa"/>
          </w:tblCellMar>
        </w:tblPrEx>
        <w:trPr>
          <w:trHeight w:val="288" w:hRule="atLeast"/>
          <w:jc w:val="center"/>
        </w:trPr>
        <w:tc>
          <w:tcPr>
            <w:tcW w:w="311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c>
          <w:tcPr>
            <w:tcW w:w="2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PowerEdge R940xa</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r>
      <w:tr>
        <w:tblPrEx>
          <w:tblCellMar>
            <w:top w:w="0" w:type="dxa"/>
            <w:left w:w="108" w:type="dxa"/>
            <w:bottom w:w="0" w:type="dxa"/>
            <w:right w:w="108" w:type="dxa"/>
          </w:tblCellMar>
        </w:tblPrEx>
        <w:trPr>
          <w:trHeight w:val="288" w:hRule="atLeast"/>
          <w:jc w:val="center"/>
        </w:trPr>
        <w:tc>
          <w:tcPr>
            <w:tcW w:w="311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c>
          <w:tcPr>
            <w:tcW w:w="2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PowerEdge R940xa</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r>
      <w:tr>
        <w:trPr>
          <w:trHeight w:val="288" w:hRule="atLeast"/>
          <w:jc w:val="center"/>
        </w:trPr>
        <w:tc>
          <w:tcPr>
            <w:tcW w:w="311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服务区计算资源群集2</w:t>
            </w:r>
          </w:p>
        </w:tc>
        <w:tc>
          <w:tcPr>
            <w:tcW w:w="2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ThinkSystem SR860 V2</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r>
      <w:tr>
        <w:tblPrEx>
          <w:tblCellMar>
            <w:top w:w="0" w:type="dxa"/>
            <w:left w:w="108" w:type="dxa"/>
            <w:bottom w:w="0" w:type="dxa"/>
            <w:right w:w="108" w:type="dxa"/>
          </w:tblCellMar>
        </w:tblPrEx>
        <w:trPr>
          <w:trHeight w:val="288" w:hRule="atLeast"/>
          <w:jc w:val="center"/>
        </w:trPr>
        <w:tc>
          <w:tcPr>
            <w:tcW w:w="311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服务区存储资源</w:t>
            </w:r>
          </w:p>
        </w:tc>
        <w:tc>
          <w:tcPr>
            <w:tcW w:w="2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IBM</w:t>
            </w:r>
            <w:r>
              <w:rPr>
                <w:rFonts w:hint="default" w:cs="宋体" w:asciiTheme="minorEastAsia" w:hAnsiTheme="minorEastAsia"/>
                <w:color w:val="auto"/>
                <w:kern w:val="0"/>
                <w:szCs w:val="21"/>
                <w:highlight w:val="none"/>
              </w:rPr>
              <w:t xml:space="preserve"> </w:t>
            </w:r>
            <w:r>
              <w:rPr>
                <w:rFonts w:hint="eastAsia" w:cs="宋体" w:asciiTheme="minorEastAsia" w:hAnsiTheme="minorEastAsia"/>
                <w:color w:val="auto"/>
                <w:kern w:val="0"/>
                <w:szCs w:val="21"/>
                <w:highlight w:val="none"/>
              </w:rPr>
              <w:t>ZJ_V5000</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存储容量：120TB</w:t>
            </w:r>
          </w:p>
        </w:tc>
      </w:tr>
      <w:tr>
        <w:tblPrEx>
          <w:tblCellMar>
            <w:top w:w="0" w:type="dxa"/>
            <w:left w:w="108" w:type="dxa"/>
            <w:bottom w:w="0" w:type="dxa"/>
            <w:right w:w="108" w:type="dxa"/>
          </w:tblCellMar>
        </w:tblPrEx>
        <w:trPr>
          <w:trHeight w:val="288" w:hRule="atLeast"/>
          <w:jc w:val="center"/>
        </w:trPr>
        <w:tc>
          <w:tcPr>
            <w:tcW w:w="311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c>
          <w:tcPr>
            <w:tcW w:w="2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IBM</w:t>
            </w:r>
            <w:r>
              <w:rPr>
                <w:rFonts w:hint="default" w:cs="宋体" w:asciiTheme="minorEastAsia" w:hAnsiTheme="minorEastAsia"/>
                <w:color w:val="auto"/>
                <w:kern w:val="0"/>
                <w:szCs w:val="21"/>
                <w:highlight w:val="none"/>
              </w:rPr>
              <w:t xml:space="preserve"> </w:t>
            </w:r>
            <w:r>
              <w:rPr>
                <w:rFonts w:hint="eastAsia" w:cs="宋体" w:asciiTheme="minorEastAsia" w:hAnsiTheme="minorEastAsia"/>
                <w:color w:val="auto"/>
                <w:kern w:val="0"/>
                <w:szCs w:val="21"/>
                <w:highlight w:val="none"/>
              </w:rPr>
              <w:t>BJ_V5000</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存储容量：58TB</w:t>
            </w:r>
          </w:p>
        </w:tc>
      </w:tr>
      <w:tr>
        <w:tblPrEx>
          <w:tblCellMar>
            <w:top w:w="0" w:type="dxa"/>
            <w:left w:w="108" w:type="dxa"/>
            <w:bottom w:w="0" w:type="dxa"/>
            <w:right w:w="108" w:type="dxa"/>
          </w:tblCellMar>
        </w:tblPrEx>
        <w:trPr>
          <w:trHeight w:val="288" w:hRule="atLeast"/>
          <w:jc w:val="center"/>
        </w:trPr>
        <w:tc>
          <w:tcPr>
            <w:tcW w:w="3114"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DMZ区计算资源群集2</w:t>
            </w:r>
          </w:p>
        </w:tc>
        <w:tc>
          <w:tcPr>
            <w:tcW w:w="2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System x3850 X5</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r>
      <w:tr>
        <w:tblPrEx>
          <w:tblCellMar>
            <w:top w:w="0" w:type="dxa"/>
            <w:left w:w="108" w:type="dxa"/>
            <w:bottom w:w="0" w:type="dxa"/>
            <w:right w:w="108" w:type="dxa"/>
          </w:tblCellMar>
        </w:tblPrEx>
        <w:trPr>
          <w:trHeight w:val="288" w:hRule="atLeast"/>
          <w:jc w:val="center"/>
        </w:trPr>
        <w:tc>
          <w:tcPr>
            <w:tcW w:w="311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c>
          <w:tcPr>
            <w:tcW w:w="2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System x3850 X5</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r>
      <w:tr>
        <w:tblPrEx>
          <w:tblCellMar>
            <w:top w:w="0" w:type="dxa"/>
            <w:left w:w="108" w:type="dxa"/>
            <w:bottom w:w="0" w:type="dxa"/>
            <w:right w:w="108" w:type="dxa"/>
          </w:tblCellMar>
        </w:tblPrEx>
        <w:trPr>
          <w:trHeight w:val="288" w:hRule="atLeast"/>
          <w:jc w:val="center"/>
        </w:trPr>
        <w:tc>
          <w:tcPr>
            <w:tcW w:w="3114"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DMZ区存储资源</w:t>
            </w:r>
          </w:p>
        </w:tc>
        <w:tc>
          <w:tcPr>
            <w:tcW w:w="2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IBM</w:t>
            </w:r>
            <w:r>
              <w:rPr>
                <w:rFonts w:hint="default" w:cs="宋体" w:asciiTheme="minorEastAsia" w:hAnsiTheme="minorEastAsia"/>
                <w:color w:val="auto"/>
                <w:kern w:val="0"/>
                <w:szCs w:val="21"/>
                <w:highlight w:val="none"/>
              </w:rPr>
              <w:t xml:space="preserve"> </w:t>
            </w:r>
            <w:r>
              <w:rPr>
                <w:rFonts w:hint="eastAsia" w:cs="宋体" w:asciiTheme="minorEastAsia" w:hAnsiTheme="minorEastAsia"/>
                <w:color w:val="auto"/>
                <w:kern w:val="0"/>
                <w:szCs w:val="21"/>
                <w:highlight w:val="none"/>
              </w:rPr>
              <w:t>DS5020</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存储容量：21.95TB</w:t>
            </w:r>
          </w:p>
        </w:tc>
      </w:tr>
      <w:tr>
        <w:tblPrEx>
          <w:tblCellMar>
            <w:top w:w="0" w:type="dxa"/>
            <w:left w:w="108" w:type="dxa"/>
            <w:bottom w:w="0" w:type="dxa"/>
            <w:right w:w="108" w:type="dxa"/>
          </w:tblCellMar>
        </w:tblPrEx>
        <w:trPr>
          <w:trHeight w:val="288" w:hRule="atLeast"/>
          <w:jc w:val="center"/>
        </w:trPr>
        <w:tc>
          <w:tcPr>
            <w:tcW w:w="3114"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SAN交换机</w:t>
            </w:r>
          </w:p>
        </w:tc>
        <w:tc>
          <w:tcPr>
            <w:tcW w:w="2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IBM</w:t>
            </w:r>
            <w:r>
              <w:rPr>
                <w:rFonts w:hint="default" w:cs="宋体" w:asciiTheme="minorEastAsia" w:hAnsiTheme="minorEastAsia"/>
                <w:color w:val="auto"/>
                <w:kern w:val="0"/>
                <w:szCs w:val="21"/>
                <w:highlight w:val="none"/>
              </w:rPr>
              <w:t xml:space="preserve"> </w:t>
            </w:r>
            <w:r>
              <w:rPr>
                <w:rFonts w:hint="eastAsia" w:cs="宋体" w:asciiTheme="minorEastAsia" w:hAnsiTheme="minorEastAsia"/>
                <w:color w:val="auto"/>
                <w:kern w:val="0"/>
                <w:szCs w:val="21"/>
                <w:highlight w:val="none"/>
              </w:rPr>
              <w:t>B</w:t>
            </w:r>
            <w:r>
              <w:rPr>
                <w:rFonts w:hint="default" w:cs="宋体" w:asciiTheme="minorEastAsia" w:hAnsiTheme="minorEastAsia"/>
                <w:color w:val="auto"/>
                <w:kern w:val="0"/>
                <w:szCs w:val="21"/>
                <w:highlight w:val="none"/>
              </w:rPr>
              <w:t xml:space="preserve">24 </w:t>
            </w:r>
            <w:r>
              <w:rPr>
                <w:rFonts w:hint="eastAsia" w:cs="宋体" w:asciiTheme="minorEastAsia" w:hAnsiTheme="minorEastAsia"/>
                <w:color w:val="auto"/>
                <w:kern w:val="0"/>
                <w:szCs w:val="21"/>
                <w:highlight w:val="none"/>
              </w:rPr>
              <w:t>V5000-B</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8G，空闲端口14个</w:t>
            </w:r>
          </w:p>
        </w:tc>
      </w:tr>
      <w:tr>
        <w:tblPrEx>
          <w:tblCellMar>
            <w:top w:w="0" w:type="dxa"/>
            <w:left w:w="108" w:type="dxa"/>
            <w:bottom w:w="0" w:type="dxa"/>
            <w:right w:w="108" w:type="dxa"/>
          </w:tblCellMar>
        </w:tblPrEx>
        <w:trPr>
          <w:trHeight w:val="288" w:hRule="atLeast"/>
          <w:jc w:val="center"/>
        </w:trPr>
        <w:tc>
          <w:tcPr>
            <w:tcW w:w="3114"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p>
        </w:tc>
        <w:tc>
          <w:tcPr>
            <w:tcW w:w="297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IBM</w:t>
            </w:r>
            <w:r>
              <w:rPr>
                <w:rFonts w:hint="default" w:cs="宋体" w:asciiTheme="minorEastAsia" w:hAnsiTheme="minorEastAsia"/>
                <w:color w:val="auto"/>
                <w:kern w:val="0"/>
                <w:szCs w:val="21"/>
                <w:highlight w:val="none"/>
              </w:rPr>
              <w:t xml:space="preserve"> B</w:t>
            </w:r>
            <w:r>
              <w:rPr>
                <w:rFonts w:hint="eastAsia" w:cs="宋体" w:asciiTheme="minorEastAsia" w:hAnsiTheme="minorEastAsia"/>
                <w:color w:val="auto"/>
                <w:kern w:val="0"/>
                <w:szCs w:val="21"/>
                <w:highlight w:val="none"/>
              </w:rPr>
              <w:t>24</w:t>
            </w:r>
            <w:r>
              <w:rPr>
                <w:rFonts w:hint="default" w:cs="宋体" w:asciiTheme="minorEastAsia" w:hAnsiTheme="minorEastAsia"/>
                <w:color w:val="auto"/>
                <w:kern w:val="0"/>
                <w:szCs w:val="21"/>
                <w:highlight w:val="none"/>
              </w:rPr>
              <w:t xml:space="preserve"> </w:t>
            </w:r>
            <w:r>
              <w:rPr>
                <w:rFonts w:hint="eastAsia" w:cs="宋体" w:asciiTheme="minorEastAsia" w:hAnsiTheme="minorEastAsia"/>
                <w:color w:val="auto"/>
                <w:kern w:val="0"/>
                <w:szCs w:val="21"/>
                <w:highlight w:val="none"/>
              </w:rPr>
              <w:t>V5000-A</w:t>
            </w:r>
          </w:p>
        </w:tc>
        <w:tc>
          <w:tcPr>
            <w:tcW w:w="198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ind w:left="0" w:right="0"/>
              <w:jc w:val="center"/>
              <w:rPr>
                <w:rFonts w:hint="default"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8G，空闲端口14个</w:t>
            </w:r>
          </w:p>
        </w:tc>
      </w:tr>
    </w:tbl>
    <w:p>
      <w:pPr>
        <w:ind w:firstLine="420" w:firstLineChars="200"/>
        <w:rPr>
          <w:color w:val="auto"/>
          <w:highlight w:val="none"/>
        </w:rPr>
      </w:pPr>
    </w:p>
    <w:p>
      <w:pPr>
        <w:ind w:firstLine="420" w:firstLineChars="200"/>
        <w:rPr>
          <w:color w:val="auto"/>
          <w:highlight w:val="none"/>
        </w:rPr>
      </w:pPr>
      <w:r>
        <w:rPr>
          <w:rFonts w:hint="eastAsia"/>
          <w:color w:val="auto"/>
          <w:highlight w:val="none"/>
        </w:rPr>
        <w:t>原有虚拟资源：</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8"/>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tcPr>
          <w:p>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版本</w:t>
            </w:r>
          </w:p>
        </w:tc>
        <w:tc>
          <w:tcPr>
            <w:tcW w:w="2074" w:type="dxa"/>
          </w:tcPr>
          <w:p>
            <w:pPr>
              <w:keepNext w:val="0"/>
              <w:keepLines w:val="0"/>
              <w:suppressLineNumbers w:val="0"/>
              <w:spacing w:before="0" w:beforeAutospacing="0" w:after="0" w:afterAutospacing="0"/>
              <w:ind w:left="0" w:right="0"/>
              <w:jc w:val="center"/>
              <w:rPr>
                <w:rFonts w:hint="default" w:asciiTheme="minorEastAsia" w:hAnsiTheme="minorEastAsia"/>
                <w:color w:val="auto"/>
                <w:highlight w:val="none"/>
              </w:rPr>
            </w:pPr>
            <w:r>
              <w:rPr>
                <w:rFonts w:hint="eastAsia" w:asciiTheme="minorEastAsia" w:hAnsiTheme="minorEastAsia"/>
                <w:color w:val="auto"/>
                <w:highlight w:val="none"/>
              </w:rPr>
              <w:t>C</w:t>
            </w:r>
            <w:r>
              <w:rPr>
                <w:rFonts w:hint="default" w:asciiTheme="minorEastAsia" w:hAnsiTheme="minorEastAsia"/>
                <w:color w:val="auto"/>
                <w:highlight w:val="none"/>
              </w:rPr>
              <w:t>PU</w:t>
            </w:r>
          </w:p>
        </w:tc>
        <w:tc>
          <w:tcPr>
            <w:tcW w:w="2074" w:type="dxa"/>
          </w:tcPr>
          <w:p>
            <w:pPr>
              <w:keepNext w:val="0"/>
              <w:keepLines w:val="0"/>
              <w:suppressLineNumbers w:val="0"/>
              <w:spacing w:before="0" w:beforeAutospacing="0" w:after="0" w:afterAutospacing="0"/>
              <w:ind w:left="0" w:right="0"/>
              <w:jc w:val="center"/>
              <w:rPr>
                <w:rFonts w:hint="default" w:asciiTheme="minorEastAsia" w:hAnsiTheme="minorEastAsia"/>
                <w:color w:val="auto"/>
                <w:highlight w:val="none"/>
              </w:rPr>
            </w:pPr>
            <w:r>
              <w:rPr>
                <w:rFonts w:hint="eastAsia" w:asciiTheme="minorEastAsia" w:hAnsiTheme="minorEastAsia"/>
                <w:color w:val="auto"/>
                <w:highlight w:val="none"/>
              </w:rPr>
              <w:t>内存</w:t>
            </w:r>
          </w:p>
        </w:tc>
        <w:tc>
          <w:tcPr>
            <w:tcW w:w="2074" w:type="dxa"/>
          </w:tcPr>
          <w:p>
            <w:pPr>
              <w:keepNext w:val="0"/>
              <w:keepLines w:val="0"/>
              <w:suppressLineNumbers w:val="0"/>
              <w:spacing w:before="0" w:beforeAutospacing="0" w:after="0" w:afterAutospacing="0"/>
              <w:ind w:left="0" w:right="0"/>
              <w:jc w:val="center"/>
              <w:rPr>
                <w:rFonts w:hint="default" w:asciiTheme="minorEastAsia" w:hAnsiTheme="minorEastAsia"/>
                <w:color w:val="auto"/>
                <w:highlight w:val="none"/>
              </w:rPr>
            </w:pPr>
            <w:r>
              <w:rPr>
                <w:rFonts w:hint="eastAsia" w:asciiTheme="minorEastAsia" w:hAnsiTheme="minorEastAsia"/>
                <w:color w:val="auto"/>
                <w:highlight w:val="none"/>
              </w:rPr>
              <w:t>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28"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ascii="宋体" w:hAnsi="宋体" w:eastAsia="宋体" w:cs="宋体"/>
                <w:color w:val="auto"/>
                <w:kern w:val="0"/>
                <w:szCs w:val="21"/>
                <w:highlight w:val="none"/>
              </w:rPr>
              <w:t>ESXi 版本 6.7.0</w:t>
            </w:r>
          </w:p>
        </w:tc>
        <w:tc>
          <w:tcPr>
            <w:tcW w:w="2074" w:type="dxa"/>
          </w:tcPr>
          <w:p>
            <w:pPr>
              <w:keepNext w:val="0"/>
              <w:keepLines w:val="0"/>
              <w:suppressLineNumbers w:val="0"/>
              <w:spacing w:before="0" w:beforeAutospacing="0" w:after="0" w:afterAutospacing="0"/>
              <w:ind w:left="0" w:right="0"/>
              <w:jc w:val="center"/>
              <w:rPr>
                <w:rFonts w:hint="default" w:asciiTheme="minorEastAsia" w:hAnsiTheme="minorEastAsia"/>
                <w:color w:val="auto"/>
                <w:highlight w:val="none"/>
              </w:rPr>
            </w:pPr>
            <w:r>
              <w:rPr>
                <w:rFonts w:hint="eastAsia" w:asciiTheme="minorEastAsia" w:hAnsiTheme="minorEastAsia"/>
                <w:color w:val="auto"/>
                <w:highlight w:val="none"/>
              </w:rPr>
              <w:t>容量: 1.16 THz</w:t>
            </w:r>
          </w:p>
        </w:tc>
        <w:tc>
          <w:tcPr>
            <w:tcW w:w="2074" w:type="dxa"/>
          </w:tcPr>
          <w:p>
            <w:pPr>
              <w:keepNext w:val="0"/>
              <w:keepLines w:val="0"/>
              <w:suppressLineNumbers w:val="0"/>
              <w:spacing w:before="0" w:beforeAutospacing="0" w:after="0" w:afterAutospacing="0"/>
              <w:ind w:left="0" w:right="0"/>
              <w:jc w:val="center"/>
              <w:rPr>
                <w:rFonts w:hint="default" w:asciiTheme="minorEastAsia" w:hAnsiTheme="minorEastAsia"/>
                <w:color w:val="auto"/>
                <w:highlight w:val="none"/>
              </w:rPr>
            </w:pPr>
            <w:r>
              <w:rPr>
                <w:rFonts w:hint="eastAsia" w:asciiTheme="minorEastAsia" w:hAnsiTheme="minorEastAsia"/>
                <w:color w:val="auto"/>
                <w:highlight w:val="none"/>
              </w:rPr>
              <w:t>容量: 10.74 TB</w:t>
            </w:r>
          </w:p>
        </w:tc>
        <w:tc>
          <w:tcPr>
            <w:tcW w:w="2074" w:type="dxa"/>
          </w:tcPr>
          <w:p>
            <w:pPr>
              <w:keepNext w:val="0"/>
              <w:keepLines w:val="0"/>
              <w:suppressLineNumbers w:val="0"/>
              <w:spacing w:before="0" w:beforeAutospacing="0" w:after="0" w:afterAutospacing="0"/>
              <w:ind w:left="0" w:right="0"/>
              <w:jc w:val="center"/>
              <w:rPr>
                <w:rFonts w:hint="default" w:asciiTheme="minorEastAsia" w:hAnsiTheme="minorEastAsia"/>
                <w:color w:val="auto"/>
                <w:highlight w:val="none"/>
              </w:rPr>
            </w:pPr>
            <w:r>
              <w:rPr>
                <w:rFonts w:hint="default" w:cs="Arial" w:asciiTheme="minorEastAsia" w:hAnsiTheme="minorEastAsia"/>
                <w:color w:val="auto"/>
                <w:kern w:val="0"/>
                <w:szCs w:val="21"/>
                <w:highlight w:val="none"/>
              </w:rPr>
              <w:t>容量: 231.01 TB</w:t>
            </w:r>
          </w:p>
        </w:tc>
      </w:tr>
    </w:tbl>
    <w:p>
      <w:pPr>
        <w:ind w:firstLine="420" w:firstLineChars="200"/>
        <w:rPr>
          <w:color w:val="auto"/>
          <w:highlight w:val="none"/>
        </w:rPr>
      </w:pPr>
    </w:p>
    <w:p>
      <w:pPr>
        <w:ind w:firstLine="420" w:firstLineChars="200"/>
        <w:rPr>
          <w:color w:val="auto"/>
          <w:highlight w:val="none"/>
        </w:rPr>
      </w:pPr>
      <w:r>
        <w:rPr>
          <w:rFonts w:hint="eastAsia"/>
          <w:color w:val="auto"/>
          <w:highlight w:val="none"/>
        </w:rPr>
        <w:t>原有备份资源：</w:t>
      </w:r>
      <w:r>
        <w:rPr>
          <w:rFonts w:hint="eastAsia" w:asciiTheme="minorEastAsia" w:hAnsiTheme="minorEastAsia"/>
          <w:color w:val="auto"/>
          <w:highlight w:val="none"/>
        </w:rPr>
        <w:t>NBU备份系统，挂载了一个IBM</w:t>
      </w:r>
      <w:r>
        <w:rPr>
          <w:rFonts w:asciiTheme="minorEastAsia" w:hAnsiTheme="minorEastAsia"/>
          <w:color w:val="auto"/>
          <w:highlight w:val="none"/>
        </w:rPr>
        <w:t xml:space="preserve"> </w:t>
      </w:r>
      <w:r>
        <w:rPr>
          <w:rFonts w:hint="eastAsia" w:asciiTheme="minorEastAsia" w:hAnsiTheme="minorEastAsia"/>
          <w:color w:val="auto"/>
          <w:highlight w:val="none"/>
        </w:rPr>
        <w:t>V3700存储，容量47TB；再挂载了一个IBM</w:t>
      </w:r>
      <w:r>
        <w:rPr>
          <w:rFonts w:asciiTheme="minorEastAsia" w:hAnsiTheme="minorEastAsia"/>
          <w:color w:val="auto"/>
          <w:highlight w:val="none"/>
        </w:rPr>
        <w:t xml:space="preserve"> </w:t>
      </w:r>
      <w:r>
        <w:rPr>
          <w:rFonts w:hint="eastAsia" w:asciiTheme="minorEastAsia" w:hAnsiTheme="minorEastAsia"/>
          <w:color w:val="auto"/>
          <w:highlight w:val="none"/>
        </w:rPr>
        <w:t>TS4300磁带库，40盒12 TB的磁带（共480TB）</w:t>
      </w:r>
      <w:r>
        <w:rPr>
          <w:rFonts w:hint="eastAsia"/>
          <w:color w:val="auto"/>
          <w:highlight w:val="none"/>
        </w:rPr>
        <w:t>。</w:t>
      </w:r>
    </w:p>
    <w:p>
      <w:pPr>
        <w:ind w:firstLine="420" w:firstLineChars="200"/>
        <w:rPr>
          <w:color w:val="auto"/>
          <w:highlight w:val="none"/>
        </w:rPr>
      </w:pPr>
    </w:p>
    <w:p>
      <w:pPr>
        <w:ind w:firstLine="420" w:firstLineChars="200"/>
        <w:rPr>
          <w:rFonts w:hint="eastAsia"/>
          <w:color w:val="auto"/>
          <w:highlight w:val="none"/>
        </w:rPr>
      </w:pPr>
      <w:r>
        <w:rPr>
          <w:rFonts w:hint="eastAsia"/>
          <w:color w:val="auto"/>
          <w:highlight w:val="none"/>
        </w:rPr>
        <w:t>故采购一批设备（包括双活全闪存储2台、san交换机4台、实时数据保护平台1套、网络交换机2台、配件扩容1套、分布式存储(6节点)1套、数据库智能运维平台1套）对采购人的虚拟化平台及分布式存储进行虚拟化扩容、配件扩容、原有数据迁移、搭建vSphere Replication、按需制定各虚拟机的RPO复制策略、实现对虚拟机的连续保护及实时数据保护平台保护策略实施等。</w:t>
      </w:r>
    </w:p>
    <w:p>
      <w:pPr>
        <w:rPr>
          <w:color w:val="auto"/>
          <w:highlight w:val="none"/>
        </w:rPr>
      </w:pPr>
    </w:p>
    <w:p>
      <w:pPr>
        <w:ind w:firstLine="480"/>
        <w:rPr>
          <w:color w:val="auto"/>
          <w:highlight w:val="none"/>
        </w:rPr>
      </w:pPr>
    </w:p>
    <w:p>
      <w:pPr>
        <w:rPr>
          <w:color w:val="auto"/>
          <w:highlight w:val="none"/>
        </w:rPr>
      </w:pPr>
      <w:r>
        <w:rPr>
          <w:color w:val="auto"/>
          <w:highlight w:val="none"/>
        </w:rPr>
        <w:t>采购包1（</w:t>
      </w:r>
      <w:r>
        <w:rPr>
          <w:rFonts w:hint="eastAsia"/>
          <w:color w:val="auto"/>
          <w:highlight w:val="none"/>
          <w:lang w:eastAsia="zh-CN"/>
        </w:rPr>
        <w:t>虚拟化平台扩容及容灾建设</w:t>
      </w:r>
      <w:r>
        <w:rPr>
          <w:color w:val="auto"/>
          <w:highlight w:val="none"/>
        </w:rPr>
        <w:t>）</w:t>
      </w:r>
      <w:r>
        <w:rPr>
          <w:b/>
          <w:color w:val="auto"/>
          <w:highlight w:val="none"/>
        </w:rPr>
        <w:t>1.主要商务要求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标的提供的时间</w:t>
            </w:r>
          </w:p>
        </w:tc>
        <w:tc>
          <w:tcPr>
            <w:tcW w:w="4153"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采购人指定时间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标的提供的地点</w:t>
            </w:r>
          </w:p>
        </w:tc>
        <w:tc>
          <w:tcPr>
            <w:tcW w:w="4153"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采购人指定地点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付款方式</w:t>
            </w:r>
          </w:p>
        </w:tc>
        <w:tc>
          <w:tcPr>
            <w:tcW w:w="4153"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1期：支付比例</w:t>
            </w:r>
            <w:r>
              <w:rPr>
                <w:rFonts w:hint="eastAsia"/>
                <w:color w:val="auto"/>
                <w:highlight w:val="none"/>
              </w:rPr>
              <w:t>50</w:t>
            </w:r>
            <w:r>
              <w:rPr>
                <w:rFonts w:hint="default"/>
                <w:color w:val="auto"/>
                <w:highlight w:val="none"/>
              </w:rPr>
              <w:t>%,</w:t>
            </w:r>
            <w:r>
              <w:rPr>
                <w:rFonts w:hint="eastAsia"/>
                <w:color w:val="auto"/>
                <w:highlight w:val="none"/>
              </w:rPr>
              <w:t>在所有设备到货后，中标人提供：双方签字确认的货物到货单、正规有效发票后，采购人向中标人支付合同总金额的 50%。</w:t>
            </w:r>
          </w:p>
          <w:p>
            <w:pPr>
              <w:pStyle w:val="2"/>
              <w:keepLines w:val="0"/>
              <w:suppressLineNumbers w:val="0"/>
              <w:spacing w:before="0" w:beforeAutospacing="0" w:after="0" w:afterAutospacing="0"/>
              <w:ind w:left="0" w:right="0"/>
              <w:rPr>
                <w:rFonts w:hint="default"/>
                <w:color w:val="auto"/>
                <w:highlight w:val="none"/>
              </w:rPr>
            </w:pPr>
            <w:r>
              <w:rPr>
                <w:rFonts w:hint="eastAsia" w:asciiTheme="minorHAnsi" w:hAnsiTheme="minorHAnsi" w:eastAsiaTheme="minorEastAsia"/>
                <w:b w:val="0"/>
                <w:bCs w:val="0"/>
                <w:color w:val="auto"/>
                <w:sz w:val="21"/>
                <w:highlight w:val="none"/>
              </w:rPr>
              <w:t>2期：支付比例50%，在项目通过验收合格后，中标人提供：双方签字确认的验收报告、正规有效发票等资料后，采购人向中标人支付合同总金额的 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验收要求</w:t>
            </w:r>
          </w:p>
        </w:tc>
        <w:tc>
          <w:tcPr>
            <w:tcW w:w="4153"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1期：</w:t>
            </w:r>
            <w:r>
              <w:rPr>
                <w:rFonts w:hint="eastAsia"/>
                <w:color w:val="auto"/>
                <w:highlight w:val="none"/>
              </w:rPr>
              <w:t xml:space="preserve">（1）中标人应提交详细项目建设方案以及进度计划表。 </w:t>
            </w:r>
          </w:p>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（2）中标人负责到用户指定的地点进行项目实施，并提供培训服务，对操作和管理人员进行培训。</w:t>
            </w:r>
          </w:p>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（3）中标人应设项目经理，负责项目实施的管理工作。</w:t>
            </w:r>
          </w:p>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（4）系统建设完成后由投标人和采购人共同验收，并出具验收报告, 投标人须为验收提供必需的设备、工具及其他便利条件；</w:t>
            </w:r>
          </w:p>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（5）验收由采购人、中标人及相关人员依国家有关标准、合同及有关附件要求进行，提供完善的项目资料，包括但不限于验收报告、技术文档、可用于二次开发的源代码等。</w:t>
            </w:r>
          </w:p>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（6）验收完毕由采购人及中标人在验收报告上签名。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履约保证金</w:t>
            </w:r>
          </w:p>
        </w:tc>
        <w:tc>
          <w:tcPr>
            <w:tcW w:w="4153" w:type="dxa"/>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收取比例：5%，说明：中标人需在合同签订后选择以下一种方式提供履约保证金：</w:t>
            </w:r>
          </w:p>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（1）直接提供合同金额 5%的履约保证金。</w:t>
            </w:r>
          </w:p>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（2）提供银行保函（额度不少于合同金额的 5%）。</w:t>
            </w:r>
          </w:p>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如中标人是选择第一种方式提供履约保证金的，需在项目验收之日起三年后，向采购人提供双方签字确认的维保期维护验收报告后，采购人退回履约保证金。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其他</w:t>
            </w:r>
          </w:p>
        </w:tc>
        <w:tc>
          <w:tcPr>
            <w:tcW w:w="4153" w:type="dxa"/>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付款方式补充说明，采购人付款采用银行转帐或电汇方式。</w:t>
            </w:r>
          </w:p>
        </w:tc>
      </w:tr>
    </w:tbl>
    <w:p>
      <w:pPr>
        <w:rPr>
          <w:bCs/>
          <w:color w:val="auto"/>
          <w:highlight w:val="none"/>
        </w:rPr>
      </w:pPr>
    </w:p>
    <w:p>
      <w:pPr>
        <w:rPr>
          <w:color w:val="auto"/>
          <w:highlight w:val="none"/>
        </w:rPr>
      </w:pPr>
      <w:r>
        <w:rPr>
          <w:color w:val="auto"/>
          <w:highlight w:val="none"/>
        </w:rPr>
        <w:t>其他商务需求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7"/>
        <w:gridCol w:w="964"/>
        <w:gridCol w:w="1644"/>
        <w:gridCol w:w="45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参数性质</w:t>
            </w:r>
          </w:p>
        </w:tc>
        <w:tc>
          <w:tcPr>
            <w:tcW w:w="964" w:type="dxa"/>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编号</w:t>
            </w:r>
          </w:p>
        </w:tc>
        <w:tc>
          <w:tcPr>
            <w:tcW w:w="1644" w:type="dxa"/>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内容明细</w:t>
            </w:r>
          </w:p>
        </w:tc>
        <w:tc>
          <w:tcPr>
            <w:tcW w:w="4592" w:type="dxa"/>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内容说明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tcPr>
          <w:p>
            <w:pPr>
              <w:keepNext w:val="0"/>
              <w:keepLines w:val="0"/>
              <w:suppressLineNumbers w:val="0"/>
              <w:spacing w:before="0" w:beforeAutospacing="0" w:after="0" w:afterAutospacing="0"/>
              <w:ind w:left="0" w:right="0"/>
              <w:jc w:val="center"/>
              <w:rPr>
                <w:rFonts w:hint="default"/>
                <w:color w:val="auto"/>
                <w:highlight w:val="none"/>
              </w:rPr>
            </w:pPr>
          </w:p>
        </w:tc>
        <w:tc>
          <w:tcPr>
            <w:tcW w:w="964" w:type="dxa"/>
          </w:tcPr>
          <w:p>
            <w:pPr>
              <w:keepNext w:val="0"/>
              <w:keepLines w:val="0"/>
              <w:numPr>
                <w:ilvl w:val="0"/>
                <w:numId w:val="1"/>
              </w:numPr>
              <w:suppressLineNumbers w:val="0"/>
              <w:spacing w:before="0" w:beforeAutospacing="0" w:after="0" w:afterAutospacing="0"/>
              <w:ind w:right="0"/>
              <w:jc w:val="center"/>
              <w:rPr>
                <w:rFonts w:hint="default"/>
                <w:color w:val="auto"/>
                <w:highlight w:val="none"/>
              </w:rPr>
            </w:pPr>
          </w:p>
        </w:tc>
        <w:tc>
          <w:tcPr>
            <w:tcW w:w="1644" w:type="dxa"/>
          </w:tcPr>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交付时间</w:t>
            </w:r>
          </w:p>
        </w:tc>
        <w:tc>
          <w:tcPr>
            <w:tcW w:w="4592" w:type="dxa"/>
          </w:tcPr>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（1）建设期：合同签订后1个月内完成设备的到货及安装调试工作，6个月内完成验收。</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（2）质保期：验收完成后提供3年维保服务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tcPr>
          <w:p>
            <w:pPr>
              <w:keepNext w:val="0"/>
              <w:keepLines w:val="0"/>
              <w:suppressLineNumbers w:val="0"/>
              <w:spacing w:before="0" w:beforeAutospacing="0" w:after="0" w:afterAutospacing="0"/>
              <w:ind w:left="0" w:right="0"/>
              <w:jc w:val="center"/>
              <w:rPr>
                <w:rFonts w:hint="default"/>
                <w:color w:val="auto"/>
                <w:highlight w:val="none"/>
              </w:rPr>
            </w:pPr>
          </w:p>
        </w:tc>
        <w:tc>
          <w:tcPr>
            <w:tcW w:w="964" w:type="dxa"/>
          </w:tcPr>
          <w:p>
            <w:pPr>
              <w:keepNext w:val="0"/>
              <w:keepLines w:val="0"/>
              <w:numPr>
                <w:ilvl w:val="0"/>
                <w:numId w:val="1"/>
              </w:numPr>
              <w:suppressLineNumbers w:val="0"/>
              <w:spacing w:before="0" w:beforeAutospacing="0" w:after="0" w:afterAutospacing="0"/>
              <w:ind w:right="0"/>
              <w:jc w:val="center"/>
              <w:rPr>
                <w:rFonts w:hint="default"/>
                <w:color w:val="auto"/>
                <w:highlight w:val="none"/>
              </w:rPr>
            </w:pPr>
          </w:p>
        </w:tc>
        <w:tc>
          <w:tcPr>
            <w:tcW w:w="1644" w:type="dxa"/>
          </w:tcPr>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包装运输及保险</w:t>
            </w:r>
          </w:p>
        </w:tc>
        <w:tc>
          <w:tcPr>
            <w:tcW w:w="4592" w:type="dxa"/>
          </w:tcPr>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包装、保险及发运、保管要求</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（1）设备材料的包装必须是制造商原厂包装，其包装均应有良好的防湿、防锈、防潮、防雨、防腐及防碰撞的措施。凡由于包装不良造成的损失和由此产生的费用均由中标人承担。</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（2）中标人负责将设备材料货到现场过程中的全部运输，包括装卸车、货物现场的搬运。</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（3）各种设备必须提供装箱清单，按装箱清单验收货物。</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（4）货物在现场的保管由中标人负责，直至项目安装、验收完毕。</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（5）货物在系统安装调试验收合格前的保险由中标供应商负责，中标人负责其派出的现场服务人员人身意外保险。</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（6）设备至采购人指定的使用现场的包装、保险及发运等环节和费用均由中标人负责。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tcPr>
          <w:p>
            <w:pPr>
              <w:keepNext w:val="0"/>
              <w:keepLines w:val="0"/>
              <w:suppressLineNumbers w:val="0"/>
              <w:spacing w:before="0" w:beforeAutospacing="0" w:after="0" w:afterAutospacing="0"/>
              <w:ind w:left="0" w:right="0"/>
              <w:jc w:val="center"/>
              <w:rPr>
                <w:rFonts w:hint="default"/>
                <w:color w:val="auto"/>
                <w:highlight w:val="none"/>
              </w:rPr>
            </w:pPr>
          </w:p>
        </w:tc>
        <w:tc>
          <w:tcPr>
            <w:tcW w:w="964" w:type="dxa"/>
          </w:tcPr>
          <w:p>
            <w:pPr>
              <w:keepNext w:val="0"/>
              <w:keepLines w:val="0"/>
              <w:numPr>
                <w:ilvl w:val="0"/>
                <w:numId w:val="1"/>
              </w:numPr>
              <w:suppressLineNumbers w:val="0"/>
              <w:spacing w:before="0" w:beforeAutospacing="0" w:after="0" w:afterAutospacing="0"/>
              <w:ind w:right="0"/>
              <w:jc w:val="center"/>
              <w:rPr>
                <w:rFonts w:hint="default"/>
                <w:color w:val="auto"/>
                <w:highlight w:val="none"/>
              </w:rPr>
            </w:pPr>
          </w:p>
        </w:tc>
        <w:tc>
          <w:tcPr>
            <w:tcW w:w="1644" w:type="dxa"/>
          </w:tcPr>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售后服务</w:t>
            </w:r>
          </w:p>
        </w:tc>
        <w:tc>
          <w:tcPr>
            <w:tcW w:w="4592" w:type="dxa"/>
          </w:tcPr>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（1）本项目维护期内中标供应商对所供货物实行包修、包换、包退、包维护保养。</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（2）如设备或零部件因非人为因素出现故障而造成短期停用时，则维护期和维修期相应顺延，不再另行收费。如停用时间累计超过60天则维护期重新计算。</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（3）对采购人的服务通知，中标供应商在接报后1小时内响应，4小时内到达现场，48小时内处理完毕。若在48小时内仍未能有效解决，中标供应商提供同档次的设备予采购人临时使用，不再另行收费。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tcPr>
          <w:p>
            <w:pPr>
              <w:keepNext w:val="0"/>
              <w:keepLines w:val="0"/>
              <w:suppressLineNumbers w:val="0"/>
              <w:spacing w:before="0" w:beforeAutospacing="0" w:after="0" w:afterAutospacing="0"/>
              <w:ind w:left="0" w:right="0"/>
              <w:jc w:val="center"/>
              <w:rPr>
                <w:rFonts w:hint="default"/>
                <w:color w:val="auto"/>
                <w:highlight w:val="none"/>
              </w:rPr>
            </w:pPr>
          </w:p>
        </w:tc>
        <w:tc>
          <w:tcPr>
            <w:tcW w:w="964" w:type="dxa"/>
          </w:tcPr>
          <w:p>
            <w:pPr>
              <w:keepNext w:val="0"/>
              <w:keepLines w:val="0"/>
              <w:numPr>
                <w:ilvl w:val="0"/>
                <w:numId w:val="1"/>
              </w:numPr>
              <w:suppressLineNumbers w:val="0"/>
              <w:spacing w:before="0" w:beforeAutospacing="0" w:after="0" w:afterAutospacing="0"/>
              <w:ind w:right="0"/>
              <w:jc w:val="center"/>
              <w:rPr>
                <w:rFonts w:hint="default"/>
                <w:color w:val="auto"/>
                <w:highlight w:val="none"/>
              </w:rPr>
            </w:pPr>
          </w:p>
        </w:tc>
        <w:tc>
          <w:tcPr>
            <w:tcW w:w="1644" w:type="dxa"/>
          </w:tcPr>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服务要求：</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1、总体要求</w:t>
            </w:r>
          </w:p>
        </w:tc>
        <w:tc>
          <w:tcPr>
            <w:tcW w:w="4592" w:type="dxa"/>
          </w:tcPr>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投标人要能提供完整的实施方案并负责维护保修等工作：</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⑴投标人需结合原有设备，提供整个双活容灾中心建设方案；</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⑵投标人需结合原有虚拟资源，提供虚拟资源池的建设方案；</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⑶投标人需结合原有需要备份资源，提供容灾备份一体化的建设方案；</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⑷投标人需提供一套规范的技术支持服务运作体系和流程，指定专职项目经理以及至少30人的售后维护服务，提供故障诊断、技术咨询等全方位的技术支持服务；</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⑸实施保障服务，进行存储改造时，投标人需保障医院系统的平稳运行，如产生设备或系统故障，均需投标人负责解决。</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⑹遇到重大系统事故或系统切换时，需提供核心设备的备用机在采购人机房，做备用。</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⑺备件支持服务，保修设备故障，除人为或自然灾害原因造成外，投标人需提供所有故障备件的更换。</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(8) 专属团队服务，包括专属的客户服务经理（负责制定项目服务计划、协调故障的处理、管理现场服务技术支持请求、了解用户需求并安排技术人员跟进、跟踪并改进服务质量、定期电话或现场进行客户拜访、主动式服务交付、提交各类服务报告、定期与客户回顾服务计划的执行情况、处理投诉等）和技术支持工程师团队（对用户各类问题响应、现场技术支持、客户变更需求、系统定期健康检查、评估优化、重大技术告警通告、不定期技术交流及培训等）</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(9)投标人需提供的其他服务，包括但不限于系统故障修复服务；灾难恢复服务；软件版本和补丁升级评估及实施服务；软件许可证迁移服务；系统巡检服务（提供每月一次巡检服务）；性能调优服务；培训服务；重要通信保障服务；应急恢复方案设计与预演服务；辅助故障定位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tcPr>
          <w:p>
            <w:pPr>
              <w:keepNext w:val="0"/>
              <w:keepLines w:val="0"/>
              <w:suppressLineNumbers w:val="0"/>
              <w:spacing w:before="0" w:beforeAutospacing="0" w:after="0" w:afterAutospacing="0"/>
              <w:ind w:left="0" w:right="0"/>
              <w:jc w:val="center"/>
              <w:rPr>
                <w:rFonts w:hint="default"/>
                <w:color w:val="auto"/>
                <w:highlight w:val="none"/>
              </w:rPr>
            </w:pPr>
          </w:p>
        </w:tc>
        <w:tc>
          <w:tcPr>
            <w:tcW w:w="964" w:type="dxa"/>
          </w:tcPr>
          <w:p>
            <w:pPr>
              <w:keepNext w:val="0"/>
              <w:keepLines w:val="0"/>
              <w:numPr>
                <w:ilvl w:val="0"/>
                <w:numId w:val="1"/>
              </w:numPr>
              <w:suppressLineNumbers w:val="0"/>
              <w:spacing w:before="0" w:beforeAutospacing="0" w:after="0" w:afterAutospacing="0"/>
              <w:ind w:right="0"/>
              <w:jc w:val="center"/>
              <w:rPr>
                <w:rFonts w:hint="default"/>
                <w:color w:val="auto"/>
                <w:highlight w:val="none"/>
              </w:rPr>
            </w:pPr>
          </w:p>
        </w:tc>
        <w:tc>
          <w:tcPr>
            <w:tcW w:w="1644" w:type="dxa"/>
          </w:tcPr>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2、实施人员要求</w:t>
            </w:r>
          </w:p>
        </w:tc>
        <w:tc>
          <w:tcPr>
            <w:tcW w:w="4592" w:type="dxa"/>
          </w:tcPr>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（1）项目团队需包括：</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项目经理：1名，具备信息系统项目管理师资格证书；</w:t>
            </w:r>
          </w:p>
          <w:p>
            <w:pPr>
              <w:keepNext w:val="0"/>
              <w:keepLines w:val="0"/>
              <w:suppressLineNumbers w:val="0"/>
              <w:spacing w:before="0" w:beforeAutospacing="0" w:after="0" w:afterAutospacing="0"/>
              <w:ind w:left="0" w:right="0"/>
              <w:jc w:val="left"/>
              <w:rPr>
                <w:rFonts w:hint="default"/>
                <w:color w:val="auto"/>
                <w:highlight w:val="none"/>
              </w:rPr>
            </w:pP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现场实施人员：不得少于6人，其中需有网络工程师、数据库系统工程师、信息系统项目管理师各不少于2</w:t>
            </w:r>
            <w:r>
              <w:rPr>
                <w:rFonts w:hint="default"/>
                <w:color w:val="auto"/>
                <w:highlight w:val="none"/>
              </w:rPr>
              <w:t>人</w:t>
            </w:r>
            <w:r>
              <w:rPr>
                <w:rFonts w:hint="eastAsia"/>
                <w:color w:val="auto"/>
                <w:highlight w:val="none"/>
              </w:rPr>
              <w:t>（提供证书，同一人多证只计一证）。</w:t>
            </w:r>
          </w:p>
          <w:p>
            <w:pPr>
              <w:keepNext w:val="0"/>
              <w:keepLines w:val="0"/>
              <w:suppressLineNumbers w:val="0"/>
              <w:spacing w:before="0" w:beforeAutospacing="0" w:after="0" w:afterAutospacing="0"/>
              <w:ind w:left="0" w:right="0"/>
              <w:jc w:val="left"/>
              <w:rPr>
                <w:rFonts w:hint="default"/>
                <w:color w:val="auto"/>
                <w:highlight w:val="none"/>
              </w:rPr>
            </w:pP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二线专家远程支持团队：承诺中标后提供专家技术支持力量不少于7人，拥有相关实施工作经验，其中具备信息系统项目管理师至少4名、数据库工程师至少3名（提供证书，同一人多证只计一证）。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tcPr>
          <w:p>
            <w:pPr>
              <w:keepNext w:val="0"/>
              <w:keepLines w:val="0"/>
              <w:suppressLineNumbers w:val="0"/>
              <w:spacing w:before="0" w:beforeAutospacing="0" w:after="0" w:afterAutospacing="0"/>
              <w:ind w:left="0" w:right="0"/>
              <w:jc w:val="center"/>
              <w:rPr>
                <w:rFonts w:hint="default"/>
                <w:color w:val="auto"/>
                <w:highlight w:val="none"/>
              </w:rPr>
            </w:pPr>
          </w:p>
        </w:tc>
        <w:tc>
          <w:tcPr>
            <w:tcW w:w="964" w:type="dxa"/>
          </w:tcPr>
          <w:p>
            <w:pPr>
              <w:keepNext w:val="0"/>
              <w:keepLines w:val="0"/>
              <w:numPr>
                <w:ilvl w:val="0"/>
                <w:numId w:val="1"/>
              </w:numPr>
              <w:suppressLineNumbers w:val="0"/>
              <w:spacing w:before="0" w:beforeAutospacing="0" w:after="0" w:afterAutospacing="0"/>
              <w:ind w:right="0"/>
              <w:jc w:val="center"/>
              <w:rPr>
                <w:rFonts w:hint="default"/>
                <w:color w:val="auto"/>
                <w:highlight w:val="none"/>
              </w:rPr>
            </w:pPr>
          </w:p>
        </w:tc>
        <w:tc>
          <w:tcPr>
            <w:tcW w:w="1644" w:type="dxa"/>
          </w:tcPr>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3、实施服务要求</w:t>
            </w:r>
          </w:p>
        </w:tc>
        <w:tc>
          <w:tcPr>
            <w:tcW w:w="4592" w:type="dxa"/>
          </w:tcPr>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1）搭建一套跨生产机房及容灾机房的双活虚拟化生产环境群集，无缝迁移原有虚拟机计算资源及存储资源；</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2）优化原有虚拟化群集资源池，使服务器群集EVC处于最佳性能模式；</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3）利旧服务器及存储资源搭建测试环境及虚拟机CDP环境的虚拟化群集，并搭建生产环境vSphere Replication，按需制定各虚拟机的RPO复制策略，实现对虚拟机的连续保护；</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5）利旧服务器及存储资源搭建DMZ生产环境，无缝迁移原有虚拟机计算资源及存储资源；</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6）利旧服务器及存储资源搭建DMZ测试环境及虚拟机CDP环境的虚拟化群集，并搭建DMZ环境vSphere Replication，按需制定各虚拟机的RPO复制策略，实现对虚拟机的连续保护。</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7）为了实现数据异地容灾，合理利用我院现有的设备。在实施过程中如涉及数据迁移需采用存储在线迁移方案，不接受备份恢复方式。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tcPr>
          <w:p>
            <w:pPr>
              <w:keepNext w:val="0"/>
              <w:keepLines w:val="0"/>
              <w:suppressLineNumbers w:val="0"/>
              <w:spacing w:before="0" w:beforeAutospacing="0" w:after="0" w:afterAutospacing="0"/>
              <w:ind w:left="0" w:right="0"/>
              <w:jc w:val="center"/>
              <w:rPr>
                <w:rFonts w:hint="default"/>
                <w:color w:val="auto"/>
                <w:highlight w:val="none"/>
              </w:rPr>
            </w:pPr>
          </w:p>
        </w:tc>
        <w:tc>
          <w:tcPr>
            <w:tcW w:w="964" w:type="dxa"/>
          </w:tcPr>
          <w:p>
            <w:pPr>
              <w:keepNext w:val="0"/>
              <w:keepLines w:val="0"/>
              <w:numPr>
                <w:ilvl w:val="0"/>
                <w:numId w:val="1"/>
              </w:numPr>
              <w:suppressLineNumbers w:val="0"/>
              <w:spacing w:before="0" w:beforeAutospacing="0" w:after="0" w:afterAutospacing="0"/>
              <w:ind w:right="0"/>
              <w:jc w:val="center"/>
              <w:rPr>
                <w:rFonts w:hint="default"/>
                <w:color w:val="auto"/>
                <w:highlight w:val="none"/>
              </w:rPr>
            </w:pPr>
          </w:p>
        </w:tc>
        <w:tc>
          <w:tcPr>
            <w:tcW w:w="1644" w:type="dxa"/>
          </w:tcPr>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培训要求</w:t>
            </w:r>
          </w:p>
        </w:tc>
        <w:tc>
          <w:tcPr>
            <w:tcW w:w="4592" w:type="dxa"/>
          </w:tcPr>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（1）培训总则</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a.</w:t>
            </w:r>
            <w:r>
              <w:rPr>
                <w:rFonts w:hint="eastAsia"/>
                <w:color w:val="auto"/>
                <w:highlight w:val="none"/>
              </w:rPr>
              <w:tab/>
            </w:r>
            <w:r>
              <w:rPr>
                <w:rFonts w:hint="eastAsia"/>
                <w:color w:val="auto"/>
                <w:highlight w:val="none"/>
              </w:rPr>
              <w:t>投标人至少必须满足本项目要求的培训服务。</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b.</w:t>
            </w:r>
            <w:r>
              <w:rPr>
                <w:rFonts w:hint="eastAsia"/>
                <w:color w:val="auto"/>
                <w:highlight w:val="none"/>
              </w:rPr>
              <w:tab/>
            </w:r>
            <w:r>
              <w:rPr>
                <w:rFonts w:hint="eastAsia"/>
                <w:color w:val="auto"/>
                <w:highlight w:val="none"/>
              </w:rPr>
              <w:t>投标人必须根据标书采购的设备及采用的相关技术，在标书中提出全面的培训计划和课程内容安排，并在合同签订后征得用户方同意后实施。</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c.</w:t>
            </w:r>
            <w:r>
              <w:rPr>
                <w:rFonts w:hint="eastAsia"/>
                <w:color w:val="auto"/>
                <w:highlight w:val="none"/>
              </w:rPr>
              <w:tab/>
            </w:r>
            <w:r>
              <w:rPr>
                <w:rFonts w:hint="eastAsia"/>
                <w:color w:val="auto"/>
                <w:highlight w:val="none"/>
              </w:rPr>
              <w:t>投标人必须将所提供的培训课程表随投标文件一起提交。</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d.</w:t>
            </w:r>
            <w:r>
              <w:rPr>
                <w:rFonts w:hint="eastAsia"/>
                <w:color w:val="auto"/>
                <w:highlight w:val="none"/>
              </w:rPr>
              <w:tab/>
            </w:r>
            <w:r>
              <w:rPr>
                <w:rFonts w:hint="eastAsia"/>
                <w:color w:val="auto"/>
                <w:highlight w:val="none"/>
              </w:rPr>
              <w:t>投标人派出的培训教员应至少具有三年的相同课程的教学经验。</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e.</w:t>
            </w:r>
            <w:r>
              <w:rPr>
                <w:rFonts w:hint="eastAsia"/>
                <w:color w:val="auto"/>
                <w:highlight w:val="none"/>
              </w:rPr>
              <w:tab/>
            </w:r>
            <w:r>
              <w:rPr>
                <w:rFonts w:hint="eastAsia"/>
                <w:color w:val="auto"/>
                <w:highlight w:val="none"/>
              </w:rPr>
              <w:t>所有的培训教员必须用中文授课（如果讲师不会讲中文，投标人必须提供中文翻译），除非有其它的协议规定。</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f.</w:t>
            </w:r>
            <w:r>
              <w:rPr>
                <w:rFonts w:hint="eastAsia"/>
                <w:color w:val="auto"/>
                <w:highlight w:val="none"/>
              </w:rPr>
              <w:tab/>
            </w:r>
            <w:r>
              <w:rPr>
                <w:rFonts w:hint="eastAsia"/>
                <w:color w:val="auto"/>
                <w:highlight w:val="none"/>
              </w:rPr>
              <w:t>投标人必须为所有被培训人员提供培训用计算机、网络环境、文字资料和讲义等相关用品。所有资料必须是中文书写。</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（2）培训内容</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投标人必需提供但不限于以下培训内容：管理培训，备份系统配置、维护相关培训，备份机器操作与维护培训等。</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（3）培训计划</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投标人在工程开始之际，培训内容至少需要向用户项目单位提供2天的现场安装、操作培训。</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（4）培训费用</w:t>
            </w:r>
          </w:p>
          <w:p>
            <w:pPr>
              <w:keepNext w:val="0"/>
              <w:keepLines w:val="0"/>
              <w:suppressLineNumbers w:val="0"/>
              <w:spacing w:before="0" w:beforeAutospacing="0" w:after="0" w:afterAutospacing="0"/>
              <w:ind w:left="0" w:right="0"/>
              <w:jc w:val="left"/>
              <w:rPr>
                <w:rFonts w:hint="default"/>
                <w:color w:val="auto"/>
                <w:highlight w:val="none"/>
              </w:rPr>
            </w:pPr>
            <w:r>
              <w:rPr>
                <w:rFonts w:hint="eastAsia"/>
                <w:color w:val="auto"/>
                <w:highlight w:val="none"/>
              </w:rPr>
              <w:t>投标人应该负责所有培训费用（必须含培训教材费）。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tcPr>
          <w:p>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w:t>
            </w:r>
          </w:p>
        </w:tc>
        <w:tc>
          <w:tcPr>
            <w:tcW w:w="964" w:type="dxa"/>
          </w:tcPr>
          <w:p>
            <w:pPr>
              <w:keepNext w:val="0"/>
              <w:keepLines w:val="0"/>
              <w:numPr>
                <w:ilvl w:val="0"/>
                <w:numId w:val="1"/>
              </w:numPr>
              <w:suppressLineNumbers w:val="0"/>
              <w:spacing w:before="0" w:beforeAutospacing="0" w:after="0" w:afterAutospacing="0"/>
              <w:ind w:right="0"/>
              <w:jc w:val="center"/>
              <w:rPr>
                <w:rFonts w:hint="default"/>
                <w:color w:val="auto"/>
                <w:highlight w:val="none"/>
              </w:rPr>
            </w:pPr>
          </w:p>
        </w:tc>
        <w:tc>
          <w:tcPr>
            <w:tcW w:w="1644" w:type="dxa"/>
          </w:tcPr>
          <w:p>
            <w:pPr>
              <w:keepNext w:val="0"/>
              <w:keepLines w:val="0"/>
              <w:suppressLineNumbers w:val="0"/>
              <w:spacing w:before="0" w:beforeAutospacing="0" w:after="0" w:afterAutospacing="0"/>
              <w:ind w:left="0" w:right="0"/>
              <w:jc w:val="left"/>
              <w:rPr>
                <w:rFonts w:hint="eastAsia"/>
                <w:color w:val="auto"/>
                <w:highlight w:val="none"/>
              </w:rPr>
            </w:pPr>
            <w:r>
              <w:rPr>
                <w:rFonts w:hint="eastAsia"/>
                <w:color w:val="auto"/>
                <w:highlight w:val="none"/>
              </w:rPr>
              <w:t>分包要求</w:t>
            </w:r>
          </w:p>
        </w:tc>
        <w:tc>
          <w:tcPr>
            <w:tcW w:w="4592" w:type="dxa"/>
          </w:tcPr>
          <w:p>
            <w:pPr>
              <w:keepNext w:val="0"/>
              <w:keepLines w:val="0"/>
              <w:suppressLineNumbers w:val="0"/>
              <w:spacing w:before="0" w:beforeAutospacing="0" w:after="0" w:afterAutospacing="0"/>
              <w:ind w:left="0" w:right="0"/>
              <w:jc w:val="left"/>
              <w:rPr>
                <w:rFonts w:hint="eastAsia"/>
                <w:color w:val="auto"/>
                <w:highlight w:val="none"/>
              </w:rPr>
            </w:pPr>
            <w:r>
              <w:rPr>
                <w:rFonts w:hint="eastAsia"/>
                <w:color w:val="auto"/>
                <w:highlight w:val="none"/>
              </w:rPr>
              <w:t>不得分包或转包本项目的产品和服务。</w:t>
            </w:r>
          </w:p>
        </w:tc>
      </w:tr>
    </w:tbl>
    <w:p>
      <w:pPr>
        <w:rPr>
          <w:color w:val="auto"/>
          <w:highlight w:val="none"/>
        </w:rPr>
      </w:pP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55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说明</w:t>
            </w:r>
          </w:p>
        </w:tc>
        <w:tc>
          <w:tcPr>
            <w:tcW w:w="5538" w:type="dxa"/>
          </w:tcPr>
          <w:p>
            <w:pPr>
              <w:keepNext w:val="0"/>
              <w:keepLines w:val="0"/>
              <w:suppressLineNumbers w:val="0"/>
              <w:spacing w:before="0" w:beforeAutospacing="0" w:after="0" w:afterAutospacing="0"/>
              <w:ind w:left="0" w:right="0"/>
              <w:jc w:val="left"/>
              <w:rPr>
                <w:rFonts w:hint="default"/>
                <w:color w:val="auto"/>
                <w:highlight w:val="none"/>
              </w:rPr>
            </w:pPr>
            <w:r>
              <w:rPr>
                <w:rFonts w:hint="default"/>
                <w:color w:val="auto"/>
                <w:highlight w:val="none"/>
              </w:rPr>
              <w:t>打“★”号条款为实质性条款，若有任何一条负偏离或不满足则导致投标（响应）无效。</w:t>
            </w:r>
            <w:r>
              <w:rPr>
                <w:rFonts w:hint="default"/>
                <w:color w:val="auto"/>
                <w:highlight w:val="none"/>
              </w:rPr>
              <w:br w:type="textWrapping"/>
            </w:r>
            <w:r>
              <w:rPr>
                <w:rFonts w:hint="default"/>
                <w:color w:val="auto"/>
                <w:highlight w:val="none"/>
              </w:rPr>
              <w:t>打“▲”号条款为重要参数（如有），若有部分“▲”条款未响应或不满足，将根据评审要求影响其得分，但不作为无效投标（响应）条款。</w:t>
            </w:r>
          </w:p>
        </w:tc>
      </w:tr>
    </w:tbl>
    <w:p>
      <w:pPr>
        <w:rPr>
          <w:bCs/>
          <w:color w:val="auto"/>
          <w:highlight w:val="none"/>
        </w:rPr>
      </w:pPr>
    </w:p>
    <w:p>
      <w:pPr>
        <w:rPr>
          <w:bCs/>
          <w:color w:val="auto"/>
          <w:highlight w:val="none"/>
        </w:rPr>
      </w:pPr>
    </w:p>
    <w:p>
      <w:pPr>
        <w:rPr>
          <w:color w:val="auto"/>
          <w:highlight w:val="none"/>
        </w:rPr>
      </w:pPr>
      <w:r>
        <w:rPr>
          <w:b/>
          <w:color w:val="auto"/>
          <w:highlight w:val="none"/>
        </w:rPr>
        <w:t>2.技术标准与要求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69"/>
        <w:gridCol w:w="1022"/>
        <w:gridCol w:w="669"/>
        <w:gridCol w:w="753"/>
        <w:gridCol w:w="670"/>
        <w:gridCol w:w="735"/>
        <w:gridCol w:w="1332"/>
        <w:gridCol w:w="1332"/>
        <w:gridCol w:w="670"/>
        <w:gridCol w:w="6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序号</w:t>
            </w:r>
          </w:p>
        </w:tc>
        <w:tc>
          <w:tcPr>
            <w:tcW w:w="1022" w:type="dxa"/>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核心产品要求（“△”）</w:t>
            </w:r>
          </w:p>
        </w:tc>
        <w:tc>
          <w:tcPr>
            <w:tcW w:w="669" w:type="dxa"/>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品目名称</w:t>
            </w:r>
          </w:p>
        </w:tc>
        <w:tc>
          <w:tcPr>
            <w:tcW w:w="753" w:type="dxa"/>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标的名称</w:t>
            </w:r>
          </w:p>
        </w:tc>
        <w:tc>
          <w:tcPr>
            <w:tcW w:w="670" w:type="dxa"/>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单位</w:t>
            </w:r>
          </w:p>
        </w:tc>
        <w:tc>
          <w:tcPr>
            <w:tcW w:w="735" w:type="dxa"/>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数量</w:t>
            </w:r>
          </w:p>
        </w:tc>
        <w:tc>
          <w:tcPr>
            <w:tcW w:w="1332" w:type="dxa"/>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分项预算单价（元）</w:t>
            </w:r>
          </w:p>
        </w:tc>
        <w:tc>
          <w:tcPr>
            <w:tcW w:w="1332" w:type="dxa"/>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分项预算总价（元）</w:t>
            </w:r>
          </w:p>
        </w:tc>
        <w:tc>
          <w:tcPr>
            <w:tcW w:w="670"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所属行业</w:t>
            </w:r>
          </w:p>
        </w:tc>
        <w:tc>
          <w:tcPr>
            <w:tcW w:w="670" w:type="dxa"/>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技术要求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1</w:t>
            </w:r>
          </w:p>
        </w:tc>
        <w:tc>
          <w:tcPr>
            <w:tcW w:w="1022" w:type="dxa"/>
          </w:tcPr>
          <w:p>
            <w:pPr>
              <w:keepNext w:val="0"/>
              <w:keepLines w:val="0"/>
              <w:suppressLineNumbers w:val="0"/>
              <w:spacing w:before="0" w:beforeAutospacing="0" w:after="0" w:afterAutospacing="0"/>
              <w:ind w:left="0" w:right="0"/>
              <w:jc w:val="center"/>
              <w:rPr>
                <w:rFonts w:hint="default"/>
                <w:color w:val="auto"/>
                <w:highlight w:val="none"/>
              </w:rPr>
            </w:pPr>
            <w:r>
              <w:rPr>
                <w:rFonts w:hint="default"/>
                <w:color w:val="auto"/>
                <w:highlight w:val="none"/>
              </w:rPr>
              <w:t>△</w:t>
            </w:r>
          </w:p>
        </w:tc>
        <w:tc>
          <w:tcPr>
            <w:tcW w:w="669"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磁盘阵列</w:t>
            </w:r>
          </w:p>
        </w:tc>
        <w:tc>
          <w:tcPr>
            <w:tcW w:w="753"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双活全闪存储</w:t>
            </w:r>
          </w:p>
        </w:tc>
        <w:tc>
          <w:tcPr>
            <w:tcW w:w="67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台</w:t>
            </w:r>
          </w:p>
        </w:tc>
        <w:tc>
          <w:tcPr>
            <w:tcW w:w="735"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2.00</w:t>
            </w:r>
          </w:p>
        </w:tc>
        <w:tc>
          <w:tcPr>
            <w:tcW w:w="1332"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1,000,000.00</w:t>
            </w:r>
          </w:p>
        </w:tc>
        <w:tc>
          <w:tcPr>
            <w:tcW w:w="1332"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2,000,000.00</w:t>
            </w:r>
          </w:p>
        </w:tc>
        <w:tc>
          <w:tcPr>
            <w:tcW w:w="670"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工业</w:t>
            </w:r>
          </w:p>
        </w:tc>
        <w:tc>
          <w:tcPr>
            <w:tcW w:w="670"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详见附表一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2</w:t>
            </w:r>
          </w:p>
        </w:tc>
        <w:tc>
          <w:tcPr>
            <w:tcW w:w="1022" w:type="dxa"/>
          </w:tcPr>
          <w:p>
            <w:pPr>
              <w:keepNext w:val="0"/>
              <w:keepLines w:val="0"/>
              <w:suppressLineNumbers w:val="0"/>
              <w:spacing w:before="0" w:beforeAutospacing="0" w:after="0" w:afterAutospacing="0"/>
              <w:ind w:left="0" w:right="0"/>
              <w:jc w:val="center"/>
              <w:rPr>
                <w:rFonts w:hint="default"/>
                <w:color w:val="auto"/>
                <w:highlight w:val="none"/>
              </w:rPr>
            </w:pPr>
          </w:p>
        </w:tc>
        <w:tc>
          <w:tcPr>
            <w:tcW w:w="669"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存储用光纤交换机</w:t>
            </w:r>
          </w:p>
        </w:tc>
        <w:tc>
          <w:tcPr>
            <w:tcW w:w="753"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S</w:t>
            </w:r>
            <w:r>
              <w:rPr>
                <w:rFonts w:hint="default"/>
                <w:color w:val="auto"/>
                <w:highlight w:val="none"/>
              </w:rPr>
              <w:t>an交换机</w:t>
            </w:r>
          </w:p>
        </w:tc>
        <w:tc>
          <w:tcPr>
            <w:tcW w:w="67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台</w:t>
            </w:r>
          </w:p>
        </w:tc>
        <w:tc>
          <w:tcPr>
            <w:tcW w:w="735"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4.00</w:t>
            </w:r>
          </w:p>
        </w:tc>
        <w:tc>
          <w:tcPr>
            <w:tcW w:w="1332"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120,000.00</w:t>
            </w:r>
          </w:p>
        </w:tc>
        <w:tc>
          <w:tcPr>
            <w:tcW w:w="1332"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480,000.00</w:t>
            </w:r>
          </w:p>
        </w:tc>
        <w:tc>
          <w:tcPr>
            <w:tcW w:w="670"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工业</w:t>
            </w:r>
          </w:p>
        </w:tc>
        <w:tc>
          <w:tcPr>
            <w:tcW w:w="670"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详见附表</w:t>
            </w:r>
            <w:r>
              <w:rPr>
                <w:rFonts w:hint="eastAsia"/>
                <w:color w:val="auto"/>
                <w:highlight w:val="none"/>
              </w:rPr>
              <w:t>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3</w:t>
            </w:r>
          </w:p>
        </w:tc>
        <w:tc>
          <w:tcPr>
            <w:tcW w:w="1022" w:type="dxa"/>
          </w:tcPr>
          <w:p>
            <w:pPr>
              <w:keepNext w:val="0"/>
              <w:keepLines w:val="0"/>
              <w:suppressLineNumbers w:val="0"/>
              <w:spacing w:before="0" w:beforeAutospacing="0" w:after="0" w:afterAutospacing="0"/>
              <w:ind w:left="0" w:right="0"/>
              <w:jc w:val="center"/>
              <w:rPr>
                <w:rFonts w:hint="default"/>
                <w:color w:val="auto"/>
                <w:highlight w:val="none"/>
              </w:rPr>
            </w:pPr>
          </w:p>
        </w:tc>
        <w:tc>
          <w:tcPr>
            <w:tcW w:w="669"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其他信息化设备</w:t>
            </w:r>
          </w:p>
        </w:tc>
        <w:tc>
          <w:tcPr>
            <w:tcW w:w="753"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实时数据保护平台</w:t>
            </w:r>
          </w:p>
        </w:tc>
        <w:tc>
          <w:tcPr>
            <w:tcW w:w="67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套</w:t>
            </w:r>
          </w:p>
        </w:tc>
        <w:tc>
          <w:tcPr>
            <w:tcW w:w="735"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1.00</w:t>
            </w:r>
          </w:p>
        </w:tc>
        <w:tc>
          <w:tcPr>
            <w:tcW w:w="1332"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450,000.00</w:t>
            </w:r>
          </w:p>
        </w:tc>
        <w:tc>
          <w:tcPr>
            <w:tcW w:w="1332"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450,000.00</w:t>
            </w:r>
          </w:p>
        </w:tc>
        <w:tc>
          <w:tcPr>
            <w:tcW w:w="670"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工业</w:t>
            </w:r>
          </w:p>
        </w:tc>
        <w:tc>
          <w:tcPr>
            <w:tcW w:w="670"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详见附表</w:t>
            </w:r>
            <w:r>
              <w:rPr>
                <w:rFonts w:hint="eastAsia"/>
                <w:color w:val="auto"/>
                <w:highlight w:val="none"/>
              </w:rPr>
              <w:t>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4</w:t>
            </w:r>
          </w:p>
        </w:tc>
        <w:tc>
          <w:tcPr>
            <w:tcW w:w="1022" w:type="dxa"/>
          </w:tcPr>
          <w:p>
            <w:pPr>
              <w:keepNext w:val="0"/>
              <w:keepLines w:val="0"/>
              <w:suppressLineNumbers w:val="0"/>
              <w:spacing w:before="0" w:beforeAutospacing="0" w:after="0" w:afterAutospacing="0"/>
              <w:ind w:left="0" w:right="0"/>
              <w:jc w:val="center"/>
              <w:rPr>
                <w:rFonts w:hint="default"/>
                <w:color w:val="auto"/>
                <w:highlight w:val="none"/>
              </w:rPr>
            </w:pPr>
          </w:p>
        </w:tc>
        <w:tc>
          <w:tcPr>
            <w:tcW w:w="669"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交换设备</w:t>
            </w:r>
          </w:p>
        </w:tc>
        <w:tc>
          <w:tcPr>
            <w:tcW w:w="753"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网络</w:t>
            </w:r>
            <w:r>
              <w:rPr>
                <w:rFonts w:hint="default"/>
                <w:color w:val="auto"/>
                <w:highlight w:val="none"/>
              </w:rPr>
              <w:t>交换机</w:t>
            </w:r>
          </w:p>
        </w:tc>
        <w:tc>
          <w:tcPr>
            <w:tcW w:w="67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台</w:t>
            </w:r>
          </w:p>
        </w:tc>
        <w:tc>
          <w:tcPr>
            <w:tcW w:w="735"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2.00</w:t>
            </w:r>
          </w:p>
        </w:tc>
        <w:tc>
          <w:tcPr>
            <w:tcW w:w="1332"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200,000.00</w:t>
            </w:r>
          </w:p>
        </w:tc>
        <w:tc>
          <w:tcPr>
            <w:tcW w:w="1332"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400,000.00</w:t>
            </w:r>
          </w:p>
        </w:tc>
        <w:tc>
          <w:tcPr>
            <w:tcW w:w="670"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工业</w:t>
            </w:r>
          </w:p>
        </w:tc>
        <w:tc>
          <w:tcPr>
            <w:tcW w:w="670"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详见附表</w:t>
            </w:r>
            <w:r>
              <w:rPr>
                <w:rFonts w:hint="eastAsia"/>
                <w:color w:val="auto"/>
                <w:highlight w:val="none"/>
              </w:rPr>
              <w:t>四</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5</w:t>
            </w:r>
          </w:p>
        </w:tc>
        <w:tc>
          <w:tcPr>
            <w:tcW w:w="1022" w:type="dxa"/>
          </w:tcPr>
          <w:p>
            <w:pPr>
              <w:keepNext w:val="0"/>
              <w:keepLines w:val="0"/>
              <w:suppressLineNumbers w:val="0"/>
              <w:spacing w:before="0" w:beforeAutospacing="0" w:after="0" w:afterAutospacing="0"/>
              <w:ind w:left="0" w:right="0"/>
              <w:jc w:val="center"/>
              <w:rPr>
                <w:rFonts w:hint="default"/>
                <w:color w:val="auto"/>
                <w:highlight w:val="none"/>
              </w:rPr>
            </w:pPr>
          </w:p>
        </w:tc>
        <w:tc>
          <w:tcPr>
            <w:tcW w:w="669"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信息化设备零部件</w:t>
            </w:r>
          </w:p>
        </w:tc>
        <w:tc>
          <w:tcPr>
            <w:tcW w:w="753"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配件扩容</w:t>
            </w:r>
          </w:p>
        </w:tc>
        <w:tc>
          <w:tcPr>
            <w:tcW w:w="67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套</w:t>
            </w:r>
          </w:p>
        </w:tc>
        <w:tc>
          <w:tcPr>
            <w:tcW w:w="735"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1.00</w:t>
            </w:r>
          </w:p>
        </w:tc>
        <w:tc>
          <w:tcPr>
            <w:tcW w:w="1332"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10,000.00</w:t>
            </w:r>
          </w:p>
        </w:tc>
        <w:tc>
          <w:tcPr>
            <w:tcW w:w="1332"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10,000.00</w:t>
            </w:r>
          </w:p>
        </w:tc>
        <w:tc>
          <w:tcPr>
            <w:tcW w:w="670"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工业</w:t>
            </w:r>
          </w:p>
        </w:tc>
        <w:tc>
          <w:tcPr>
            <w:tcW w:w="670"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详见附表</w:t>
            </w:r>
            <w:r>
              <w:rPr>
                <w:rFonts w:hint="eastAsia"/>
                <w:color w:val="auto"/>
                <w:highlight w:val="none"/>
              </w:rPr>
              <w:t>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6</w:t>
            </w:r>
          </w:p>
        </w:tc>
        <w:tc>
          <w:tcPr>
            <w:tcW w:w="1022" w:type="dxa"/>
          </w:tcPr>
          <w:p>
            <w:pPr>
              <w:keepNext w:val="0"/>
              <w:keepLines w:val="0"/>
              <w:suppressLineNumbers w:val="0"/>
              <w:spacing w:before="0" w:beforeAutospacing="0" w:after="0" w:afterAutospacing="0"/>
              <w:ind w:left="0" w:right="0"/>
              <w:jc w:val="center"/>
              <w:rPr>
                <w:rFonts w:hint="default"/>
                <w:color w:val="auto"/>
                <w:highlight w:val="none"/>
              </w:rPr>
            </w:pPr>
          </w:p>
        </w:tc>
        <w:tc>
          <w:tcPr>
            <w:tcW w:w="669"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应用软件</w:t>
            </w:r>
          </w:p>
        </w:tc>
        <w:tc>
          <w:tcPr>
            <w:tcW w:w="753"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数据库智能运维平台</w:t>
            </w:r>
          </w:p>
        </w:tc>
        <w:tc>
          <w:tcPr>
            <w:tcW w:w="67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套</w:t>
            </w:r>
          </w:p>
        </w:tc>
        <w:tc>
          <w:tcPr>
            <w:tcW w:w="735"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1.00</w:t>
            </w:r>
          </w:p>
        </w:tc>
        <w:tc>
          <w:tcPr>
            <w:tcW w:w="1332"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400,000.00</w:t>
            </w:r>
          </w:p>
        </w:tc>
        <w:tc>
          <w:tcPr>
            <w:tcW w:w="1332"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400,000.00</w:t>
            </w:r>
          </w:p>
        </w:tc>
        <w:tc>
          <w:tcPr>
            <w:tcW w:w="670" w:type="dxa"/>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软件和信息技术服务业</w:t>
            </w:r>
          </w:p>
        </w:tc>
        <w:tc>
          <w:tcPr>
            <w:tcW w:w="670"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详见附表</w:t>
            </w:r>
            <w:r>
              <w:rPr>
                <w:rFonts w:hint="eastAsia"/>
                <w:color w:val="auto"/>
                <w:highlight w:val="none"/>
              </w:rPr>
              <w:t>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9" w:type="dxa"/>
          </w:tcPr>
          <w:p>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7</w:t>
            </w:r>
          </w:p>
        </w:tc>
        <w:tc>
          <w:tcPr>
            <w:tcW w:w="1022" w:type="dxa"/>
          </w:tcPr>
          <w:p>
            <w:pPr>
              <w:keepNext w:val="0"/>
              <w:keepLines w:val="0"/>
              <w:suppressLineNumbers w:val="0"/>
              <w:spacing w:before="0" w:beforeAutospacing="0" w:after="0" w:afterAutospacing="0"/>
              <w:ind w:left="0" w:right="0"/>
              <w:jc w:val="center"/>
              <w:rPr>
                <w:rFonts w:hint="default"/>
                <w:color w:val="auto"/>
                <w:highlight w:val="none"/>
              </w:rPr>
            </w:pPr>
          </w:p>
        </w:tc>
        <w:tc>
          <w:tcPr>
            <w:tcW w:w="669"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安全集成实施服务</w:t>
            </w:r>
          </w:p>
        </w:tc>
        <w:tc>
          <w:tcPr>
            <w:tcW w:w="753"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集成服务</w:t>
            </w:r>
          </w:p>
        </w:tc>
        <w:tc>
          <w:tcPr>
            <w:tcW w:w="670"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套</w:t>
            </w:r>
          </w:p>
        </w:tc>
        <w:tc>
          <w:tcPr>
            <w:tcW w:w="735"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1.00</w:t>
            </w:r>
          </w:p>
        </w:tc>
        <w:tc>
          <w:tcPr>
            <w:tcW w:w="1332"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30,000.00</w:t>
            </w:r>
          </w:p>
        </w:tc>
        <w:tc>
          <w:tcPr>
            <w:tcW w:w="1332" w:type="dxa"/>
            <w:vAlign w:val="center"/>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30,000.00</w:t>
            </w:r>
          </w:p>
        </w:tc>
        <w:tc>
          <w:tcPr>
            <w:tcW w:w="670" w:type="dxa"/>
          </w:tcPr>
          <w:p>
            <w:pPr>
              <w:keepNext w:val="0"/>
              <w:keepLines w:val="0"/>
              <w:suppressLineNumbers w:val="0"/>
              <w:spacing w:before="0" w:beforeAutospacing="0" w:after="0" w:afterAutospacing="0"/>
              <w:ind w:left="0" w:right="0"/>
              <w:rPr>
                <w:rFonts w:hint="default"/>
                <w:color w:val="auto"/>
                <w:highlight w:val="none"/>
              </w:rPr>
            </w:pPr>
            <w:r>
              <w:rPr>
                <w:rFonts w:hint="eastAsia"/>
                <w:color w:val="auto"/>
                <w:highlight w:val="none"/>
              </w:rPr>
              <w:t>软件和信息技术服务业</w:t>
            </w:r>
          </w:p>
        </w:tc>
        <w:tc>
          <w:tcPr>
            <w:tcW w:w="670"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详见附表</w:t>
            </w:r>
            <w:r>
              <w:rPr>
                <w:rFonts w:hint="eastAsia"/>
                <w:color w:val="auto"/>
                <w:highlight w:val="none"/>
              </w:rPr>
              <w:t>七</w:t>
            </w:r>
          </w:p>
        </w:tc>
      </w:tr>
    </w:tbl>
    <w:p>
      <w:pPr>
        <w:rPr>
          <w:color w:val="auto"/>
          <w:highlight w:val="none"/>
        </w:rPr>
      </w:pPr>
      <w:r>
        <w:rPr>
          <w:color w:val="auto"/>
          <w:highlight w:val="none"/>
        </w:rPr>
        <w:t>备注：最终综合总报价=（各产品报价×各项产品权重）的相加值</w:t>
      </w:r>
    </w:p>
    <w:p>
      <w:pPr>
        <w:rPr>
          <w:color w:val="auto"/>
          <w:highlight w:val="none"/>
        </w:rPr>
      </w:pPr>
    </w:p>
    <w:p>
      <w:pPr>
        <w:rPr>
          <w:rFonts w:hint="default" w:eastAsiaTheme="minorEastAsia"/>
          <w:b/>
          <w:color w:val="auto"/>
          <w:highlight w:val="none"/>
          <w:lang w:val="en-US" w:eastAsia="zh-CN"/>
        </w:rPr>
      </w:pPr>
    </w:p>
    <w:p>
      <w:pPr>
        <w:rPr>
          <w:color w:val="auto"/>
          <w:highlight w:val="none"/>
        </w:rPr>
      </w:pPr>
      <w:r>
        <w:rPr>
          <w:b/>
          <w:color w:val="auto"/>
          <w:highlight w:val="none"/>
        </w:rPr>
        <w:t>附表一：</w:t>
      </w:r>
      <w:r>
        <w:rPr>
          <w:rFonts w:hint="eastAsia"/>
          <w:b/>
          <w:color w:val="auto"/>
          <w:highlight w:val="none"/>
        </w:rPr>
        <w:t>双活全闪存储 进口</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1"/>
        <w:gridCol w:w="426"/>
        <w:gridCol w:w="73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参数性质</w:t>
            </w:r>
          </w:p>
        </w:tc>
        <w:tc>
          <w:tcPr>
            <w:tcW w:w="426"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序号</w:t>
            </w:r>
          </w:p>
        </w:tc>
        <w:tc>
          <w:tcPr>
            <w:tcW w:w="7385"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keepNext w:val="0"/>
              <w:keepLines w:val="0"/>
              <w:suppressLineNumbers w:val="0"/>
              <w:spacing w:before="0" w:beforeAutospacing="0" w:after="0" w:afterAutospacing="0"/>
              <w:ind w:left="0" w:right="0"/>
              <w:rPr>
                <w:rFonts w:hint="default"/>
                <w:color w:val="auto"/>
                <w:highlight w:val="none"/>
              </w:rPr>
            </w:pPr>
          </w:p>
        </w:tc>
        <w:tc>
          <w:tcPr>
            <w:tcW w:w="426" w:type="dxa"/>
          </w:tcPr>
          <w:p>
            <w:pPr>
              <w:keepNext w:val="0"/>
              <w:keepLines w:val="0"/>
              <w:numPr>
                <w:ilvl w:val="0"/>
                <w:numId w:val="2"/>
              </w:numPr>
              <w:suppressLineNumbers w:val="0"/>
              <w:spacing w:before="0" w:beforeAutospacing="0" w:after="0" w:afterAutospacing="0"/>
              <w:ind w:right="0"/>
              <w:jc w:val="center"/>
              <w:rPr>
                <w:rFonts w:hint="default"/>
                <w:color w:val="auto"/>
                <w:highlight w:val="none"/>
              </w:rPr>
            </w:pPr>
          </w:p>
        </w:tc>
        <w:tc>
          <w:tcPr>
            <w:tcW w:w="7385" w:type="dxa"/>
          </w:tcPr>
          <w:p>
            <w:pPr>
              <w:keepNext w:val="0"/>
              <w:keepLines w:val="0"/>
              <w:suppressLineNumbers w:val="0"/>
              <w:spacing w:before="0" w:beforeAutospacing="0" w:after="0" w:afterAutospacing="0"/>
              <w:ind w:left="0" w:right="0"/>
              <w:rPr>
                <w:rFonts w:hint="default" w:ascii="宋体" w:hAnsi="宋体" w:eastAsia="宋体" w:cs="宋体"/>
                <w:b/>
                <w:color w:val="auto"/>
                <w:szCs w:val="21"/>
                <w:highlight w:val="none"/>
              </w:rPr>
            </w:pPr>
          </w:p>
          <w:tbl>
            <w:tblPr>
              <w:tblStyle w:val="7"/>
              <w:tblW w:w="67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4229"/>
              <w:gridCol w:w="640"/>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b/>
                      <w:bCs/>
                      <w:color w:val="auto"/>
                      <w:highlight w:val="none"/>
                    </w:rPr>
                  </w:pPr>
                  <w:r>
                    <w:rPr>
                      <w:rFonts w:hint="eastAsia"/>
                      <w:b/>
                      <w:bCs/>
                      <w:color w:val="auto"/>
                      <w:highlight w:val="none"/>
                    </w:rPr>
                    <w:t>设备名称</w:t>
                  </w:r>
                </w:p>
              </w:tc>
              <w:tc>
                <w:tcPr>
                  <w:tcW w:w="4229" w:type="dxa"/>
                  <w:vAlign w:val="center"/>
                </w:tcPr>
                <w:p>
                  <w:pPr>
                    <w:keepNext w:val="0"/>
                    <w:keepLines w:val="0"/>
                    <w:suppressLineNumbers w:val="0"/>
                    <w:spacing w:before="0" w:beforeAutospacing="0" w:after="0" w:afterAutospacing="0"/>
                    <w:ind w:left="0" w:right="0"/>
                    <w:jc w:val="center"/>
                    <w:rPr>
                      <w:rFonts w:hint="default"/>
                      <w:b/>
                      <w:bCs/>
                      <w:color w:val="auto"/>
                      <w:highlight w:val="none"/>
                    </w:rPr>
                  </w:pPr>
                  <w:r>
                    <w:rPr>
                      <w:rFonts w:hint="eastAsia"/>
                      <w:b/>
                      <w:bCs/>
                      <w:color w:val="auto"/>
                      <w:highlight w:val="none"/>
                    </w:rPr>
                    <w:t>产品配置需求</w:t>
                  </w:r>
                </w:p>
              </w:tc>
              <w:tc>
                <w:tcPr>
                  <w:tcW w:w="640" w:type="dxa"/>
                  <w:vAlign w:val="center"/>
                </w:tcPr>
                <w:p>
                  <w:pPr>
                    <w:keepNext w:val="0"/>
                    <w:keepLines w:val="0"/>
                    <w:suppressLineNumbers w:val="0"/>
                    <w:spacing w:before="0" w:beforeAutospacing="0" w:after="0" w:afterAutospacing="0"/>
                    <w:ind w:left="0" w:right="0"/>
                    <w:jc w:val="center"/>
                    <w:rPr>
                      <w:rFonts w:hint="default"/>
                      <w:b/>
                      <w:bCs/>
                      <w:color w:val="auto"/>
                      <w:highlight w:val="none"/>
                    </w:rPr>
                  </w:pPr>
                  <w:r>
                    <w:rPr>
                      <w:rFonts w:hint="eastAsia"/>
                      <w:b/>
                      <w:bCs/>
                      <w:color w:val="auto"/>
                      <w:highlight w:val="none"/>
                    </w:rPr>
                    <w:t>数量</w:t>
                  </w:r>
                </w:p>
              </w:tc>
              <w:tc>
                <w:tcPr>
                  <w:tcW w:w="727" w:type="dxa"/>
                  <w:vAlign w:val="center"/>
                </w:tcPr>
                <w:p>
                  <w:pPr>
                    <w:keepNext w:val="0"/>
                    <w:keepLines w:val="0"/>
                    <w:suppressLineNumbers w:val="0"/>
                    <w:spacing w:before="0" w:beforeAutospacing="0" w:after="0" w:afterAutospacing="0"/>
                    <w:ind w:left="0" w:right="0"/>
                    <w:jc w:val="center"/>
                    <w:rPr>
                      <w:rFonts w:hint="default"/>
                      <w:b/>
                      <w:bCs/>
                      <w:color w:val="auto"/>
                      <w:highlight w:val="none"/>
                    </w:rPr>
                  </w:pPr>
                  <w:r>
                    <w:rPr>
                      <w:rFonts w:hint="eastAsia"/>
                      <w:b/>
                      <w:bCs/>
                      <w:color w:val="auto"/>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1161" w:type="dxa"/>
                  <w:vAlign w:val="center"/>
                </w:tcPr>
                <w:p>
                  <w:pPr>
                    <w:keepNext w:val="0"/>
                    <w:keepLines w:val="0"/>
                    <w:suppressLineNumbers w:val="0"/>
                    <w:spacing w:before="0" w:beforeAutospacing="0" w:after="0" w:afterAutospacing="0"/>
                    <w:ind w:left="0" w:right="0"/>
                    <w:jc w:val="center"/>
                    <w:rPr>
                      <w:rFonts w:hint="default"/>
                      <w:color w:val="auto"/>
                      <w:highlight w:val="none"/>
                      <w:lang w:eastAsia="zh-Hans"/>
                    </w:rPr>
                  </w:pPr>
                  <w:r>
                    <w:rPr>
                      <w:rFonts w:hint="eastAsia"/>
                      <w:color w:val="auto"/>
                      <w:highlight w:val="none"/>
                      <w:lang w:eastAsia="zh-Hans"/>
                    </w:rPr>
                    <w:t>双活全闪存储</w:t>
                  </w:r>
                </w:p>
              </w:tc>
              <w:tc>
                <w:tcPr>
                  <w:tcW w:w="4229" w:type="dxa"/>
                  <w:vAlign w:val="center"/>
                </w:tcPr>
                <w:p>
                  <w:pPr>
                    <w:keepNext w:val="0"/>
                    <w:keepLines w:val="0"/>
                    <w:suppressLineNumbers w:val="0"/>
                    <w:spacing w:before="0" w:beforeAutospacing="0" w:after="0" w:afterAutospacing="0"/>
                    <w:ind w:left="0" w:right="0"/>
                    <w:jc w:val="left"/>
                    <w:rPr>
                      <w:rFonts w:hint="eastAsia" w:eastAsiaTheme="minorEastAsia"/>
                      <w:color w:val="auto"/>
                      <w:highlight w:val="none"/>
                      <w:lang w:eastAsia="zh-CN"/>
                    </w:rPr>
                  </w:pPr>
                  <w:r>
                    <w:rPr>
                      <w:rFonts w:hint="eastAsia"/>
                      <w:color w:val="auto"/>
                      <w:highlight w:val="none"/>
                      <w:lang w:eastAsia="zh-Hans"/>
                    </w:rPr>
                    <w:t>全闪存阵列，配置RAID</w:t>
                  </w:r>
                  <w:r>
                    <w:rPr>
                      <w:rFonts w:hint="default"/>
                      <w:color w:val="auto"/>
                      <w:highlight w:val="none"/>
                      <w:lang w:eastAsia="zh-Hans"/>
                    </w:rPr>
                    <w:t>6</w:t>
                  </w:r>
                  <w:r>
                    <w:rPr>
                      <w:rFonts w:hint="eastAsia"/>
                      <w:color w:val="auto"/>
                      <w:highlight w:val="none"/>
                      <w:lang w:eastAsia="zh-Hans"/>
                    </w:rPr>
                    <w:t>后约</w:t>
                  </w:r>
                  <w:r>
                    <w:rPr>
                      <w:rFonts w:hint="default"/>
                      <w:color w:val="auto"/>
                      <w:highlight w:val="none"/>
                      <w:lang w:eastAsia="zh-Hans"/>
                    </w:rPr>
                    <w:t>400TB NVMe</w:t>
                  </w:r>
                  <w:r>
                    <w:rPr>
                      <w:rFonts w:hint="eastAsia"/>
                      <w:color w:val="auto"/>
                      <w:highlight w:val="none"/>
                      <w:lang w:eastAsia="zh-Hans"/>
                    </w:rPr>
                    <w:t>有效容量</w:t>
                  </w:r>
                  <w:r>
                    <w:rPr>
                      <w:rFonts w:hint="eastAsia"/>
                      <w:color w:val="auto"/>
                      <w:highlight w:val="none"/>
                    </w:rPr>
                    <w:t>，双电源，自动精简配置，配置数据分层，压缩和重删，快照，克隆，同步/异步远程复制，防勒索病毒，自带(双活)软件功能</w:t>
                  </w:r>
                  <w:r>
                    <w:rPr>
                      <w:rFonts w:hint="eastAsia"/>
                      <w:color w:val="auto"/>
                      <w:highlight w:val="none"/>
                      <w:lang w:eastAsia="zh-Hans"/>
                    </w:rPr>
                    <w:t>配置Web界面存储管理软件， 分别分布部署在两个机房</w:t>
                  </w:r>
                  <w:r>
                    <w:rPr>
                      <w:rFonts w:hint="eastAsia"/>
                      <w:color w:val="auto"/>
                      <w:highlight w:val="none"/>
                      <w:lang w:eastAsia="zh-CN"/>
                    </w:rPr>
                    <w:t>。</w:t>
                  </w:r>
                </w:p>
              </w:tc>
              <w:tc>
                <w:tcPr>
                  <w:tcW w:w="640" w:type="dxa"/>
                  <w:vAlign w:val="center"/>
                </w:tcPr>
                <w:p>
                  <w:pPr>
                    <w:keepNext w:val="0"/>
                    <w:keepLines w:val="0"/>
                    <w:suppressLineNumbers w:val="0"/>
                    <w:spacing w:before="0" w:beforeAutospacing="0" w:after="0" w:afterAutospacing="0"/>
                    <w:ind w:left="0" w:right="0"/>
                    <w:jc w:val="center"/>
                    <w:rPr>
                      <w:rFonts w:hint="default"/>
                      <w:color w:val="auto"/>
                      <w:highlight w:val="none"/>
                    </w:rPr>
                  </w:pPr>
                  <w:r>
                    <w:rPr>
                      <w:rFonts w:hint="eastAsia"/>
                      <w:color w:val="auto"/>
                      <w:highlight w:val="none"/>
                    </w:rPr>
                    <w:t>2</w:t>
                  </w:r>
                </w:p>
              </w:tc>
              <w:tc>
                <w:tcPr>
                  <w:tcW w:w="727" w:type="dxa"/>
                  <w:vAlign w:val="center"/>
                </w:tcPr>
                <w:p>
                  <w:pPr>
                    <w:keepNext w:val="0"/>
                    <w:keepLines w:val="0"/>
                    <w:suppressLineNumbers w:val="0"/>
                    <w:spacing w:before="0" w:beforeAutospacing="0" w:after="0" w:afterAutospacing="0"/>
                    <w:ind w:left="0" w:right="0"/>
                    <w:jc w:val="center"/>
                    <w:rPr>
                      <w:rFonts w:hint="default"/>
                      <w:color w:val="auto"/>
                      <w:highlight w:val="none"/>
                      <w:lang w:eastAsia="zh-Hans"/>
                    </w:rPr>
                  </w:pPr>
                  <w:r>
                    <w:rPr>
                      <w:rFonts w:hint="eastAsia"/>
                      <w:color w:val="auto"/>
                      <w:highlight w:val="none"/>
                      <w:lang w:eastAsia="zh-Hans"/>
                    </w:rPr>
                    <w:t>台</w:t>
                  </w:r>
                </w:p>
              </w:tc>
            </w:tr>
          </w:tbl>
          <w:p>
            <w:pPr>
              <w:pStyle w:val="2"/>
              <w:keepLines w:val="0"/>
              <w:suppressLineNumbers w:val="0"/>
              <w:spacing w:before="0" w:beforeAutospacing="0" w:after="0" w:afterAutospacing="0"/>
              <w:ind w:left="0" w:right="0"/>
              <w:rPr>
                <w:rFonts w:hint="default" w:ascii="宋体" w:eastAsia="宋体" w:cs="宋体"/>
                <w:color w:val="auto"/>
                <w:sz w:val="21"/>
                <w:szCs w:val="21"/>
                <w:highlight w:val="none"/>
              </w:rPr>
            </w:pPr>
          </w:p>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11" w:type="dxa"/>
          </w:tcPr>
          <w:p>
            <w:pPr>
              <w:keepNext w:val="0"/>
              <w:keepLines w:val="0"/>
              <w:suppressLineNumbers w:val="0"/>
              <w:spacing w:before="0" w:beforeAutospacing="0" w:after="0" w:afterAutospacing="0"/>
              <w:ind w:left="0" w:right="0"/>
              <w:rPr>
                <w:rFonts w:hint="default"/>
                <w:color w:val="auto"/>
                <w:highlight w:val="none"/>
              </w:rPr>
            </w:pPr>
          </w:p>
        </w:tc>
        <w:tc>
          <w:tcPr>
            <w:tcW w:w="426" w:type="dxa"/>
          </w:tcPr>
          <w:p>
            <w:pPr>
              <w:keepNext w:val="0"/>
              <w:keepLines w:val="0"/>
              <w:numPr>
                <w:ilvl w:val="0"/>
                <w:numId w:val="2"/>
              </w:numPr>
              <w:suppressLineNumbers w:val="0"/>
              <w:spacing w:before="0" w:beforeAutospacing="0" w:after="0" w:afterAutospacing="0"/>
              <w:ind w:right="0"/>
              <w:jc w:val="center"/>
              <w:rPr>
                <w:rFonts w:hint="default"/>
                <w:color w:val="auto"/>
                <w:highlight w:val="none"/>
              </w:rPr>
            </w:pPr>
          </w:p>
        </w:tc>
        <w:tc>
          <w:tcPr>
            <w:tcW w:w="7385" w:type="dxa"/>
          </w:tcPr>
          <w:p>
            <w:pPr>
              <w:keepNext w:val="0"/>
              <w:keepLines w:val="0"/>
              <w:suppressLineNumbers w:val="0"/>
              <w:spacing w:before="0" w:beforeAutospacing="0" w:after="0" w:afterAutospacing="0"/>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技术要求：</w:t>
            </w:r>
          </w:p>
          <w:tbl>
            <w:tblPr>
              <w:tblStyle w:val="4"/>
              <w:tblW w:w="7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085"/>
              <w:gridCol w:w="5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64" w:type="dxa"/>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085" w:type="dxa"/>
                  <w:shd w:val="clear" w:color="auto" w:fill="auto"/>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指标项</w:t>
                  </w:r>
                </w:p>
              </w:tc>
              <w:tc>
                <w:tcPr>
                  <w:tcW w:w="5210" w:type="dxa"/>
                  <w:shd w:val="clear" w:color="auto" w:fill="auto"/>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配置和技术规格要求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85" w:type="dxa"/>
                  <w:shd w:val="clear" w:color="auto" w:fill="auto"/>
                  <w:vAlign w:val="center"/>
                </w:tcPr>
                <w:p>
                  <w:pPr>
                    <w:keepNext w:val="0"/>
                    <w:keepLines w:val="0"/>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▲设备类型</w:t>
                  </w:r>
                </w:p>
              </w:tc>
              <w:tc>
                <w:tcPr>
                  <w:tcW w:w="5210" w:type="dxa"/>
                  <w:shd w:val="clear" w:color="auto" w:fill="auto"/>
                  <w:vAlign w:val="center"/>
                </w:tcPr>
                <w:p>
                  <w:pPr>
                    <w:keepNext w:val="0"/>
                    <w:keepLines w:val="0"/>
                    <w:suppressLineNumbers w:val="0"/>
                    <w:spacing w:before="78" w:beforeLines="25" w:beforeAutospacing="0" w:after="78" w:afterLines="25" w:afterAutospacing="0" w:line="440" w:lineRule="exact"/>
                    <w:ind w:left="0" w:right="0"/>
                    <w:rPr>
                      <w:rFonts w:hint="default" w:ascii="宋体" w:hAnsi="宋体" w:eastAsia="宋体" w:cs="宋体"/>
                      <w:color w:val="auto"/>
                      <w:spacing w:val="10"/>
                      <w:szCs w:val="21"/>
                      <w:highlight w:val="none"/>
                    </w:rPr>
                  </w:pPr>
                  <w:r>
                    <w:rPr>
                      <w:rFonts w:hint="eastAsia" w:ascii="宋体" w:hAnsi="宋体" w:eastAsia="宋体" w:cs="宋体"/>
                      <w:color w:val="auto"/>
                      <w:szCs w:val="21"/>
                      <w:highlight w:val="none"/>
                    </w:rPr>
                    <w:t>企业级高端全闪存阵列产品，非OEM产品，必须支持端到端NVMe技术；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85" w:type="dxa"/>
                  <w:shd w:val="clear" w:color="auto" w:fill="auto"/>
                  <w:vAlign w:val="center"/>
                </w:tcPr>
                <w:p>
                  <w:pPr>
                    <w:keepNext w:val="0"/>
                    <w:keepLines w:val="0"/>
                    <w:suppressLineNumbers w:val="0"/>
                    <w:spacing w:before="0" w:beforeAutospacing="0" w:after="0" w:afterAutospacing="0" w:line="440" w:lineRule="exact"/>
                    <w:ind w:left="0" w:right="0"/>
                    <w:rPr>
                      <w:rFonts w:hint="default" w:ascii="宋体" w:hAnsi="宋体" w:eastAsia="宋体" w:cs="宋体"/>
                      <w:color w:val="auto"/>
                      <w:szCs w:val="21"/>
                      <w:highlight w:val="none"/>
                      <w:lang w:eastAsia="zh-Hans"/>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Hans"/>
                    </w:rPr>
                    <w:t>控制器</w:t>
                  </w:r>
                </w:p>
              </w:tc>
              <w:tc>
                <w:tcPr>
                  <w:tcW w:w="5210" w:type="dxa"/>
                  <w:shd w:val="clear" w:color="auto" w:fill="auto"/>
                  <w:vAlign w:val="center"/>
                </w:tcPr>
                <w:p>
                  <w:pPr>
                    <w:keepNext w:val="0"/>
                    <w:keepLines w:val="0"/>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本次配置≥2个Active-Active控制器，每个控制器实配CPU Core≥</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0，CPU主频≥2.4 GHz；控制器可扩展数量≥8个，可扩展CPU Core≥160，</w:t>
                  </w:r>
                  <w:r>
                    <w:rPr>
                      <w:rFonts w:hint="eastAsia" w:ascii="宋体" w:hAnsi="宋体" w:eastAsia="宋体" w:cs="宋体"/>
                      <w:b/>
                      <w:bCs/>
                      <w:color w:val="auto"/>
                      <w:szCs w:val="21"/>
                      <w:highlight w:val="none"/>
                    </w:rPr>
                    <w:t>提供官网截图或产品彩页</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085" w:type="dxa"/>
                  <w:shd w:val="clear" w:color="auto" w:fill="auto"/>
                  <w:vAlign w:val="center"/>
                </w:tcPr>
                <w:p>
                  <w:pPr>
                    <w:keepNext w:val="0"/>
                    <w:keepLines w:val="0"/>
                    <w:suppressLineNumbers w:val="0"/>
                    <w:spacing w:before="0" w:beforeAutospacing="0" w:after="0" w:afterAutospacing="0" w:line="440" w:lineRule="exact"/>
                    <w:ind w:left="0" w:right="0"/>
                    <w:rPr>
                      <w:rFonts w:hint="default" w:ascii="宋体" w:hAnsi="宋体" w:eastAsia="宋体" w:cs="宋体"/>
                      <w:color w:val="auto"/>
                      <w:szCs w:val="21"/>
                      <w:highlight w:val="none"/>
                      <w:lang w:eastAsia="zh-Hans"/>
                    </w:rPr>
                  </w:pPr>
                  <w:r>
                    <w:rPr>
                      <w:rFonts w:hint="eastAsia" w:ascii="宋体" w:hAnsi="宋体" w:eastAsia="宋体" w:cs="宋体"/>
                      <w:color w:val="auto"/>
                      <w:szCs w:val="21"/>
                      <w:highlight w:val="none"/>
                      <w:lang w:eastAsia="zh-Hans"/>
                    </w:rPr>
                    <w:t>磁盘类型</w:t>
                  </w:r>
                </w:p>
              </w:tc>
              <w:tc>
                <w:tcPr>
                  <w:tcW w:w="5210" w:type="dxa"/>
                  <w:shd w:val="clear" w:color="auto" w:fill="auto"/>
                  <w:vAlign w:val="center"/>
                </w:tcPr>
                <w:p>
                  <w:pPr>
                    <w:keepNext w:val="0"/>
                    <w:keepLines w:val="0"/>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支持SAS-SSD，NVME-SSD，以及FCM和SCM盘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085" w:type="dxa"/>
                  <w:shd w:val="clear" w:color="auto" w:fill="auto"/>
                  <w:vAlign w:val="center"/>
                </w:tcPr>
                <w:p>
                  <w:pPr>
                    <w:keepNext w:val="0"/>
                    <w:keepLines w:val="0"/>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▲主机接口</w:t>
                  </w:r>
                </w:p>
              </w:tc>
              <w:tc>
                <w:tcPr>
                  <w:tcW w:w="5210" w:type="dxa"/>
                  <w:shd w:val="clear" w:color="auto" w:fill="auto"/>
                  <w:vAlign w:val="center"/>
                </w:tcPr>
                <w:p>
                  <w:pPr>
                    <w:keepNext w:val="0"/>
                    <w:keepLines w:val="0"/>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本次实配≥8个 32Gb/s FC接口， 本次实配≥8个10Gb接口，集群系统可扩展到≥96个32 Gb/s FC接口，可配置25GB iWARP, RoCE;100GB RoCEv2接口，支持iSER协议，</w:t>
                  </w:r>
                  <w:r>
                    <w:rPr>
                      <w:rFonts w:hint="eastAsia" w:ascii="宋体" w:hAnsi="宋体" w:eastAsia="宋体" w:cs="宋体"/>
                      <w:b/>
                      <w:bCs/>
                      <w:color w:val="auto"/>
                      <w:szCs w:val="21"/>
                      <w:highlight w:val="none"/>
                    </w:rPr>
                    <w:t>提供官网截图或产品彩页</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085" w:type="dxa"/>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lang w:eastAsia="zh-Hans"/>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Hans"/>
                    </w:rPr>
                    <w:t>缓存</w:t>
                  </w:r>
                </w:p>
              </w:tc>
              <w:tc>
                <w:tcPr>
                  <w:tcW w:w="5210" w:type="dxa"/>
                  <w:shd w:val="clear" w:color="auto" w:fill="auto"/>
                  <w:vAlign w:val="center"/>
                </w:tcPr>
                <w:p>
                  <w:pPr>
                    <w:keepNext w:val="0"/>
                    <w:keepLines w:val="0"/>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lang w:eastAsia="zh-Hans"/>
                    </w:rPr>
                    <w:t>每个</w:t>
                  </w:r>
                  <w:r>
                    <w:rPr>
                      <w:rFonts w:hint="eastAsia" w:ascii="宋体" w:hAnsi="宋体" w:eastAsia="宋体" w:cs="宋体"/>
                      <w:color w:val="auto"/>
                      <w:szCs w:val="21"/>
                      <w:highlight w:val="none"/>
                    </w:rPr>
                    <w:t>控制器实配≥768GB缓存（非SSD），</w:t>
                  </w:r>
                  <w:r>
                    <w:rPr>
                      <w:rFonts w:hint="eastAsia" w:ascii="宋体" w:hAnsi="宋体" w:eastAsia="宋体" w:cs="宋体"/>
                      <w:color w:val="auto"/>
                      <w:szCs w:val="21"/>
                      <w:highlight w:val="none"/>
                      <w:lang w:eastAsia="zh-Hans"/>
                    </w:rPr>
                    <w:t>整机</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Hans"/>
                    </w:rPr>
                    <w:t>1.5TB缓存，</w:t>
                  </w:r>
                  <w:r>
                    <w:rPr>
                      <w:rFonts w:hint="eastAsia" w:ascii="宋体" w:hAnsi="宋体" w:eastAsia="宋体" w:cs="宋体"/>
                      <w:color w:val="auto"/>
                      <w:szCs w:val="21"/>
                      <w:highlight w:val="none"/>
                    </w:rPr>
                    <w:t>支持写Cache镜像，集群系统总缓存支持6TB以上（非SSD Cache），</w:t>
                  </w:r>
                  <w:r>
                    <w:rPr>
                      <w:rFonts w:hint="eastAsia" w:ascii="宋体" w:hAnsi="宋体" w:eastAsia="宋体" w:cs="宋体"/>
                      <w:b/>
                      <w:bCs/>
                      <w:color w:val="auto"/>
                      <w:szCs w:val="21"/>
                      <w:highlight w:val="none"/>
                    </w:rPr>
                    <w:t>提供官网截图或产品彩页</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64" w:type="dxa"/>
                  <w:vAlign w:val="center"/>
                </w:tcPr>
                <w:p>
                  <w:pPr>
                    <w:keepNext w:val="0"/>
                    <w:keepLines w:val="0"/>
                    <w:suppressLineNumbers w:val="0"/>
                    <w:spacing w:before="78" w:beforeLines="25" w:beforeAutospacing="0" w:after="78" w:afterLines="25" w:afterAutospacing="0" w:line="440" w:lineRule="exact"/>
                    <w:ind w:left="0" w:right="0"/>
                    <w:jc w:val="center"/>
                    <w:rPr>
                      <w:rFonts w:hint="default" w:ascii="宋体" w:hAnsi="宋体" w:eastAsia="宋体" w:cs="宋体"/>
                      <w:color w:val="auto"/>
                      <w:spacing w:val="10"/>
                      <w:szCs w:val="21"/>
                      <w:highlight w:val="none"/>
                    </w:rPr>
                  </w:pPr>
                  <w:r>
                    <w:rPr>
                      <w:rFonts w:hint="eastAsia" w:ascii="宋体" w:hAnsi="宋体" w:eastAsia="宋体" w:cs="宋体"/>
                      <w:color w:val="auto"/>
                      <w:spacing w:val="10"/>
                      <w:szCs w:val="21"/>
                      <w:highlight w:val="none"/>
                    </w:rPr>
                    <w:t>6</w:t>
                  </w:r>
                </w:p>
              </w:tc>
              <w:tc>
                <w:tcPr>
                  <w:tcW w:w="1085" w:type="dxa"/>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lang w:eastAsia="zh-Hans"/>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Hans"/>
                    </w:rPr>
                    <w:t>存储容量及扩展能力</w:t>
                  </w:r>
                </w:p>
              </w:tc>
              <w:tc>
                <w:tcPr>
                  <w:tcW w:w="5210" w:type="dxa"/>
                  <w:shd w:val="clear" w:color="auto" w:fill="auto"/>
                  <w:vAlign w:val="center"/>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szCs w:val="21"/>
                      <w:highlight w:val="none"/>
                      <w:lang w:eastAsia="zh-Hans"/>
                    </w:rPr>
                  </w:pPr>
                  <w:r>
                    <w:rPr>
                      <w:rFonts w:hint="eastAsia" w:ascii="宋体" w:hAnsi="宋体" w:eastAsia="宋体" w:cs="宋体"/>
                      <w:color w:val="auto"/>
                      <w:szCs w:val="21"/>
                      <w:highlight w:val="none"/>
                    </w:rPr>
                    <w:t>配置有效容量≥4</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0TB NVMe 闪存盘，单系统支持磁盘数≥392，集群系统最大支持磁盘数≥1568，单块硬盘≤20TB,支持压缩技术；不启用存储控制器系统压缩或重删前提下有效存储空间大于</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00TB。</w:t>
                  </w:r>
                  <w:r>
                    <w:rPr>
                      <w:rFonts w:hint="eastAsia" w:ascii="宋体" w:hAnsi="宋体" w:eastAsia="宋体" w:cs="宋体"/>
                      <w:b/>
                      <w:bCs/>
                      <w:color w:val="auto"/>
                      <w:szCs w:val="21"/>
                      <w:highlight w:val="none"/>
                    </w:rPr>
                    <w:t>提供官网截图或产品彩页</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085"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最大性能支持</w:t>
                  </w:r>
                </w:p>
              </w:tc>
              <w:tc>
                <w:tcPr>
                  <w:tcW w:w="5210"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1、单系统≥3,500,000，集群系统最大可支持≥14,000,000</w:t>
                  </w:r>
                </w:p>
                <w:p>
                  <w:pPr>
                    <w:keepNext w:val="0"/>
                    <w:keepLines w:val="0"/>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2、单系统≥45GB/s，集群系统最大可支持≥180GB/s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085"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RAID保护</w:t>
                  </w:r>
                </w:p>
              </w:tc>
              <w:tc>
                <w:tcPr>
                  <w:tcW w:w="5210"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支持分布式DRAID1、DRAID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085"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可靠性</w:t>
                  </w:r>
                </w:p>
              </w:tc>
              <w:tc>
                <w:tcPr>
                  <w:tcW w:w="5210"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冗余控制器、冗余电源、可在线更换部件，可在线升级微码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085"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压缩功能</w:t>
                  </w:r>
                </w:p>
              </w:tc>
              <w:tc>
                <w:tcPr>
                  <w:tcW w:w="5210"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支持并配置压缩功能，可基于控制器专用硬件压缩芯片或基于闪存盘内联数据压缩，实现性能无损，压缩比≥3:1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085"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基础管理软件</w:t>
                  </w:r>
                </w:p>
              </w:tc>
              <w:tc>
                <w:tcPr>
                  <w:tcW w:w="5210"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支持并配置图形化管理界面，可实时监控设备状态及性能，支持命令行管理工具，主机I/O通道负载均衡软件不限平台及连接数量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085"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▲存储虚拟化软件</w:t>
                  </w:r>
                </w:p>
              </w:tc>
              <w:tc>
                <w:tcPr>
                  <w:tcW w:w="5210"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支持并配置外置存储虚拟化功能，具备广泛的兼容性，可虚拟IBM、HP、EMC、HDS，华为等主流存储厂商的主流存储产品。需提供官方兼容性列表，最大虚拟化容量≥32PB,要求可达500种</w:t>
                  </w:r>
                  <w:r>
                    <w:rPr>
                      <w:rFonts w:hint="eastAsia" w:ascii="宋体" w:hAnsi="宋体" w:eastAsia="宋体" w:cs="宋体"/>
                      <w:color w:val="auto"/>
                      <w:szCs w:val="21"/>
                      <w:highlight w:val="none"/>
                      <w:lang w:val="en-US" w:eastAsia="zh-CN"/>
                    </w:rPr>
                    <w:t>或</w:t>
                  </w:r>
                  <w:r>
                    <w:rPr>
                      <w:rFonts w:hint="eastAsia" w:ascii="宋体" w:hAnsi="宋体" w:eastAsia="宋体" w:cs="宋体"/>
                      <w:color w:val="auto"/>
                      <w:szCs w:val="21"/>
                      <w:highlight w:val="none"/>
                    </w:rPr>
                    <w:t>以上存储。</w:t>
                  </w:r>
                  <w:r>
                    <w:rPr>
                      <w:rFonts w:hint="eastAsia" w:ascii="宋体" w:hAnsi="宋体" w:eastAsia="宋体" w:cs="宋体"/>
                      <w:b/>
                      <w:bCs/>
                      <w:color w:val="auto"/>
                      <w:szCs w:val="21"/>
                      <w:highlight w:val="none"/>
                    </w:rPr>
                    <w:t>提供官网截图或产品彩页</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085"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存储优化管理软件</w:t>
                  </w:r>
                </w:p>
              </w:tc>
              <w:tc>
                <w:tcPr>
                  <w:tcW w:w="5210"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支持并配置精简分配，自动分级存储（包括虚拟化外置存储空间）等功能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085"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虚拟机备份</w:t>
                  </w:r>
                </w:p>
              </w:tc>
              <w:tc>
                <w:tcPr>
                  <w:tcW w:w="5210"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支持并配置虚拟机备份功能，支持对VMware及Hyper-V环境下的虚拟机镜像的在线备份和恢复，虚拟化备份管理软件客户端应支持不需要在VMware ESX宿主机上安装任何组件，不额外消耗VMware ESX宿主机的资源，采用无代理安装模式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085"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▲快照功能</w:t>
                  </w:r>
                </w:p>
              </w:tc>
              <w:tc>
                <w:tcPr>
                  <w:tcW w:w="5210"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支持并配置内部快照功能，并支持快照回滚，以实现数据的逻辑保护，支持云快照功能，可将数据快照至云层，实现云端备份；配置快照统一管理功能，实现跨存储的快照统一管理。</w:t>
                  </w:r>
                  <w:r>
                    <w:rPr>
                      <w:rFonts w:hint="eastAsia" w:ascii="宋体" w:hAnsi="宋体" w:eastAsia="宋体" w:cs="宋体"/>
                      <w:b/>
                      <w:bCs/>
                      <w:color w:val="auto"/>
                      <w:szCs w:val="21"/>
                      <w:highlight w:val="none"/>
                    </w:rPr>
                    <w:t>提供官网截图或产品彩页</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085"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▲不可变数据副本</w:t>
                  </w:r>
                </w:p>
              </w:tc>
              <w:tc>
                <w:tcPr>
                  <w:tcW w:w="5210"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支持部署不可变数据副本，防止数据篡改，在遇到网络攻击等恶意事件时快速恢复，提高数据安全性。</w:t>
                  </w:r>
                  <w:r>
                    <w:rPr>
                      <w:rFonts w:hint="eastAsia" w:ascii="宋体" w:hAnsi="宋体" w:eastAsia="宋体" w:cs="宋体"/>
                      <w:b/>
                      <w:bCs/>
                      <w:color w:val="auto"/>
                      <w:szCs w:val="21"/>
                      <w:highlight w:val="none"/>
                    </w:rPr>
                    <w:t>提供官网截图或产品彩页</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085"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存储高可用</w:t>
                  </w:r>
                </w:p>
              </w:tc>
              <w:tc>
                <w:tcPr>
                  <w:tcW w:w="5210"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配置虚拟卷镜像功能，可实现跨存储池或异构存储间的实时数据镜像功能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085"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▲存储双活功能</w:t>
                  </w:r>
                </w:p>
              </w:tc>
              <w:tc>
                <w:tcPr>
                  <w:tcW w:w="5210"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支持并配置存储双活，实现单个站点故障时，业务访问自动切换至另一站点，无需中断业务和数据零丢失。</w:t>
                  </w:r>
                  <w:r>
                    <w:rPr>
                      <w:rFonts w:hint="eastAsia" w:ascii="宋体" w:hAnsi="宋体" w:eastAsia="宋体" w:cs="宋体"/>
                      <w:b/>
                      <w:bCs/>
                      <w:color w:val="auto"/>
                      <w:szCs w:val="21"/>
                      <w:highlight w:val="none"/>
                    </w:rPr>
                    <w:t>提供官网截图或产品彩页</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9"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085"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容灾功能</w:t>
                  </w:r>
                </w:p>
              </w:tc>
              <w:tc>
                <w:tcPr>
                  <w:tcW w:w="5210"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1、支持并配置同步数据复制功能，支持同步数据复制距离≤300KM。</w:t>
                  </w:r>
                </w:p>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2、支持并配置异步数据复制功能，支持异步数据复制距离≤8000KM。</w:t>
                  </w:r>
                </w:p>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3、支持虚拟化异构存储，并实现异构存储间的同步数据复制和异步复制功能。</w:t>
                  </w:r>
                </w:p>
                <w:p>
                  <w:pPr>
                    <w:keepNext w:val="0"/>
                    <w:keepLines w:val="0"/>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4、支持IP带宽优化技术和IP压缩技术。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085"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云存储功能</w:t>
                  </w:r>
                </w:p>
              </w:tc>
              <w:tc>
                <w:tcPr>
                  <w:tcW w:w="5210"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支持并配置云存储功能，支持 Amazon S3 通讯协议 或 OpenStack Swift API ，將数据传送到私有云或公有云完成数据备份，数据归档及数据测试的目的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085"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支持系统</w:t>
                  </w:r>
                </w:p>
              </w:tc>
              <w:tc>
                <w:tcPr>
                  <w:tcW w:w="5210"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兼容IBM、HP、SUN等UNIX主机及运行Windows，Linux，VMware等系统的x86服务器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22</w:t>
                  </w:r>
                </w:p>
              </w:tc>
              <w:tc>
                <w:tcPr>
                  <w:tcW w:w="1085"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多路径支持</w:t>
                  </w:r>
                </w:p>
              </w:tc>
              <w:tc>
                <w:tcPr>
                  <w:tcW w:w="5210"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支持以上系统的多路径功能，并配置服务器多路径功能及负载平衡的软件授权许可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23</w:t>
                  </w:r>
                </w:p>
              </w:tc>
              <w:tc>
                <w:tcPr>
                  <w:tcW w:w="1085"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▲数据迁移功能</w:t>
                  </w:r>
                </w:p>
              </w:tc>
              <w:tc>
                <w:tcPr>
                  <w:tcW w:w="5210"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支持并配置异构存储之间存储级的数据迁移功能，能够支持不影响应用运行的数据迁移方式 。支持跨集群可移动迁移卷。</w:t>
                  </w:r>
                  <w:r>
                    <w:rPr>
                      <w:rFonts w:hint="eastAsia" w:ascii="宋体" w:hAnsi="宋体" w:eastAsia="宋体" w:cs="宋体"/>
                      <w:b/>
                      <w:bCs/>
                      <w:color w:val="auto"/>
                      <w:szCs w:val="21"/>
                      <w:highlight w:val="none"/>
                    </w:rPr>
                    <w:t>提供官网截图或产品彩页</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864" w:type="dxa"/>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24</w:t>
                  </w:r>
                </w:p>
              </w:tc>
              <w:tc>
                <w:tcPr>
                  <w:tcW w:w="1085"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原厂服务</w:t>
                  </w:r>
                </w:p>
              </w:tc>
              <w:tc>
                <w:tcPr>
                  <w:tcW w:w="5210" w:type="dxa"/>
                  <w:shd w:val="clear" w:color="auto" w:fill="auto"/>
                  <w:vAlign w:val="center"/>
                </w:tcPr>
                <w:p>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★配置原厂商三年7×24</w:t>
                  </w:r>
                  <w:r>
                    <w:rPr>
                      <w:rFonts w:hint="eastAsia" w:ascii="宋体" w:hAnsi="宋体" w:eastAsia="宋体" w:cs="宋体"/>
                      <w:color w:val="auto"/>
                      <w:szCs w:val="21"/>
                      <w:highlight w:val="none"/>
                      <w:lang w:val="en-US" w:eastAsia="zh-CN"/>
                    </w:rPr>
                    <w:t>小时</w:t>
                  </w:r>
                  <w:r>
                    <w:rPr>
                      <w:rFonts w:hint="eastAsia" w:ascii="宋体" w:hAnsi="宋体" w:eastAsia="宋体" w:cs="宋体"/>
                      <w:color w:val="auto"/>
                      <w:szCs w:val="21"/>
                      <w:highlight w:val="none"/>
                    </w:rPr>
                    <w:t>现场保修服务（含人工和备件）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需提供承诺函，内容包括但不限于以下内容:</w:t>
                  </w:r>
                  <w:r>
                    <w:rPr>
                      <w:rFonts w:hint="eastAsia" w:ascii="宋体" w:hAnsi="宋体" w:eastAsia="宋体" w:cs="宋体"/>
                      <w:b/>
                      <w:bCs/>
                      <w:color w:val="auto"/>
                      <w:szCs w:val="21"/>
                      <w:highlight w:val="none"/>
                    </w:rPr>
                    <w:t>承诺</w:t>
                  </w:r>
                  <w:r>
                    <w:rPr>
                      <w:rFonts w:hint="eastAsia" w:ascii="宋体" w:hAnsi="宋体" w:eastAsia="宋体" w:cs="宋体"/>
                      <w:b/>
                      <w:bCs/>
                      <w:color w:val="auto"/>
                      <w:szCs w:val="21"/>
                      <w:highlight w:val="none"/>
                      <w:lang w:val="en-US" w:eastAsia="zh-CN"/>
                    </w:rPr>
                    <w:t>合同签订前</w:t>
                  </w:r>
                  <w:r>
                    <w:rPr>
                      <w:rFonts w:hint="eastAsia" w:ascii="宋体" w:hAnsi="宋体" w:eastAsia="宋体" w:cs="宋体"/>
                      <w:b/>
                      <w:bCs/>
                      <w:color w:val="auto"/>
                      <w:szCs w:val="21"/>
                      <w:highlight w:val="none"/>
                    </w:rPr>
                    <w:t>提供设备制造厂商</w:t>
                  </w:r>
                  <w:r>
                    <w:rPr>
                      <w:rFonts w:hint="eastAsia" w:ascii="宋体" w:hAnsi="宋体" w:eastAsia="宋体" w:cs="宋体"/>
                      <w:b/>
                      <w:bCs/>
                      <w:color w:val="auto"/>
                      <w:szCs w:val="21"/>
                      <w:highlight w:val="none"/>
                      <w:lang w:val="en-US" w:eastAsia="zh-CN"/>
                    </w:rPr>
                    <w:t>或其合法代理商出具</w:t>
                  </w:r>
                  <w:r>
                    <w:rPr>
                      <w:rFonts w:hint="eastAsia" w:ascii="宋体" w:hAnsi="宋体" w:eastAsia="宋体" w:cs="宋体"/>
                      <w:b/>
                      <w:bCs/>
                      <w:color w:val="auto"/>
                      <w:szCs w:val="21"/>
                      <w:highlight w:val="none"/>
                    </w:rPr>
                    <w:t>的合法有效的售后服务承诺函。</w:t>
                  </w:r>
                  <w:r>
                    <w:rPr>
                      <w:rFonts w:hint="eastAsia" w:ascii="宋体" w:hAnsi="宋体" w:eastAsia="宋体" w:cs="宋体"/>
                      <w:b/>
                      <w:bCs/>
                      <w:color w:val="auto"/>
                      <w:szCs w:val="21"/>
                      <w:highlight w:val="none"/>
                      <w:lang w:eastAsia="zh-CN"/>
                    </w:rPr>
                    <w:t>）</w:t>
                  </w:r>
                </w:p>
              </w:tc>
            </w:tr>
          </w:tbl>
          <w:p>
            <w:pPr>
              <w:pStyle w:val="2"/>
              <w:keepLines w:val="0"/>
              <w:suppressLineNumbers w:val="0"/>
              <w:spacing w:before="0" w:beforeAutospacing="0" w:after="0" w:afterAutospacing="0"/>
              <w:ind w:left="0" w:right="0"/>
              <w:rPr>
                <w:rFonts w:hint="default" w:ascii="宋体" w:eastAsia="宋体" w:cs="宋体"/>
                <w:color w:val="auto"/>
                <w:sz w:val="21"/>
                <w:szCs w:val="21"/>
                <w:highlight w:val="none"/>
              </w:rPr>
            </w:pPr>
          </w:p>
          <w:p>
            <w:pPr>
              <w:keepNext w:val="0"/>
              <w:keepLines w:val="0"/>
              <w:suppressLineNumbers w:val="0"/>
              <w:spacing w:before="0" w:beforeAutospacing="0" w:after="0" w:afterAutospacing="0"/>
              <w:ind w:left="0" w:right="0"/>
              <w:rPr>
                <w:rFonts w:hint="default" w:ascii="宋体" w:hAnsi="宋体" w:eastAsia="宋体" w:cs="宋体"/>
                <w:b/>
                <w:color w:val="auto"/>
                <w:szCs w:val="21"/>
                <w:highlight w:val="none"/>
              </w:rPr>
            </w:pPr>
          </w:p>
          <w:p>
            <w:pPr>
              <w:pStyle w:val="2"/>
              <w:keepLines w:val="0"/>
              <w:suppressLineNumbers w:val="0"/>
              <w:spacing w:before="0" w:beforeAutospacing="0" w:after="0" w:afterAutospacing="0"/>
              <w:ind w:left="0" w:right="0"/>
              <w:rPr>
                <w:rFonts w:hint="default" w:ascii="宋体" w:eastAsia="宋体" w:cs="宋体"/>
                <w:color w:val="auto"/>
                <w:sz w:val="21"/>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1"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说明</w:t>
            </w:r>
          </w:p>
        </w:tc>
        <w:tc>
          <w:tcPr>
            <w:tcW w:w="7811" w:type="dxa"/>
            <w:gridSpan w:val="2"/>
          </w:tcPr>
          <w:p>
            <w:pPr>
              <w:keepNext w:val="0"/>
              <w:keepLines w:val="0"/>
              <w:suppressLineNumbers w:val="0"/>
              <w:spacing w:before="0" w:beforeAutospacing="0" w:after="0" w:afterAutospacing="0"/>
              <w:ind w:left="0" w:right="0"/>
              <w:jc w:val="left"/>
              <w:rPr>
                <w:rFonts w:hint="default"/>
                <w:color w:val="auto"/>
                <w:highlight w:val="none"/>
              </w:rPr>
            </w:pPr>
            <w:r>
              <w:rPr>
                <w:rFonts w:hint="default"/>
                <w:color w:val="auto"/>
                <w:highlight w:val="none"/>
              </w:rPr>
              <w:t>打“★”号条款为实质性条款，若有任何一条负偏离或不满足则导致投标无效。</w:t>
            </w:r>
            <w:r>
              <w:rPr>
                <w:rFonts w:hint="default"/>
                <w:color w:val="auto"/>
                <w:highlight w:val="none"/>
              </w:rPr>
              <w:br w:type="textWrapping"/>
            </w:r>
            <w:r>
              <w:rPr>
                <w:rFonts w:hint="default"/>
                <w:color w:val="auto"/>
                <w:highlight w:val="none"/>
              </w:rPr>
              <w:t>打“▲”号条款为重要技术参数，若有部分“▲”条款未响应或不满足，将导致其响应性评审加重扣分，但不作为无效投标条款。</w:t>
            </w:r>
          </w:p>
        </w:tc>
      </w:tr>
    </w:tbl>
    <w:p>
      <w:pPr>
        <w:rPr>
          <w:color w:val="auto"/>
          <w:highlight w:val="none"/>
        </w:rPr>
      </w:pPr>
    </w:p>
    <w:p>
      <w:pPr>
        <w:rPr>
          <w:color w:val="auto"/>
          <w:highlight w:val="none"/>
        </w:rPr>
      </w:pPr>
      <w:r>
        <w:rPr>
          <w:b/>
          <w:color w:val="auto"/>
          <w:highlight w:val="none"/>
        </w:rPr>
        <w:t>附表</w:t>
      </w:r>
      <w:r>
        <w:rPr>
          <w:rFonts w:hint="eastAsia"/>
          <w:b/>
          <w:color w:val="auto"/>
          <w:highlight w:val="none"/>
        </w:rPr>
        <w:t>二</w:t>
      </w:r>
      <w:r>
        <w:rPr>
          <w:b/>
          <w:color w:val="auto"/>
          <w:highlight w:val="none"/>
        </w:rPr>
        <w:t>：</w:t>
      </w:r>
      <w:r>
        <w:rPr>
          <w:rFonts w:hint="eastAsia"/>
          <w:b/>
          <w:color w:val="auto"/>
          <w:highlight w:val="none"/>
        </w:rPr>
        <w:t>San交换机</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36"/>
        <w:gridCol w:w="426"/>
        <w:gridCol w:w="75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参数性质</w:t>
            </w:r>
          </w:p>
        </w:tc>
        <w:tc>
          <w:tcPr>
            <w:tcW w:w="426"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序号</w:t>
            </w:r>
          </w:p>
        </w:tc>
        <w:tc>
          <w:tcPr>
            <w:tcW w:w="7560"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dxa"/>
          </w:tcPr>
          <w:p>
            <w:pPr>
              <w:keepNext w:val="0"/>
              <w:keepLines w:val="0"/>
              <w:suppressLineNumbers w:val="0"/>
              <w:spacing w:before="0" w:beforeAutospacing="0" w:after="0" w:afterAutospacing="0"/>
              <w:ind w:left="0" w:right="0"/>
              <w:rPr>
                <w:rFonts w:hint="default"/>
                <w:color w:val="auto"/>
                <w:highlight w:val="none"/>
              </w:rPr>
            </w:pPr>
          </w:p>
        </w:tc>
        <w:tc>
          <w:tcPr>
            <w:tcW w:w="426" w:type="dxa"/>
          </w:tcPr>
          <w:p>
            <w:pPr>
              <w:keepNext w:val="0"/>
              <w:keepLines w:val="0"/>
              <w:numPr>
                <w:ilvl w:val="0"/>
                <w:numId w:val="3"/>
              </w:numPr>
              <w:suppressLineNumbers w:val="0"/>
              <w:spacing w:before="0" w:beforeAutospacing="0" w:after="0" w:afterAutospacing="0"/>
              <w:ind w:right="0"/>
              <w:jc w:val="center"/>
              <w:rPr>
                <w:rFonts w:hint="default"/>
                <w:color w:val="auto"/>
                <w:highlight w:val="none"/>
              </w:rPr>
            </w:pPr>
          </w:p>
        </w:tc>
        <w:tc>
          <w:tcPr>
            <w:tcW w:w="7560" w:type="dxa"/>
          </w:tcPr>
          <w:p>
            <w:pPr>
              <w:keepNext w:val="0"/>
              <w:keepLines w:val="0"/>
              <w:suppressLineNumbers w:val="0"/>
              <w:spacing w:before="0" w:beforeAutospacing="0" w:after="0" w:afterAutospacing="0"/>
              <w:ind w:left="0" w:right="0"/>
              <w:rPr>
                <w:rFonts w:hint="default" w:ascii="宋体" w:hAnsi="宋体" w:eastAsia="宋体" w:cs="宋体"/>
                <w:b/>
                <w:color w:val="auto"/>
                <w:szCs w:val="21"/>
                <w:highlight w:val="none"/>
              </w:rPr>
            </w:pPr>
          </w:p>
          <w:tbl>
            <w:tblPr>
              <w:tblStyle w:val="7"/>
              <w:tblW w:w="7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4442"/>
              <w:gridCol w:w="67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219" w:type="dxa"/>
                  <w:vAlign w:val="center"/>
                </w:tcPr>
                <w:p>
                  <w:pPr>
                    <w:keepNext w:val="0"/>
                    <w:keepLines w:val="0"/>
                    <w:suppressLineNumbers w:val="0"/>
                    <w:spacing w:before="0" w:beforeAutospacing="0" w:after="0" w:afterAutospacing="0"/>
                    <w:ind w:left="0" w:right="0"/>
                    <w:jc w:val="center"/>
                    <w:rPr>
                      <w:rFonts w:hint="default"/>
                      <w:b/>
                      <w:bCs/>
                      <w:color w:val="auto"/>
                      <w:highlight w:val="none"/>
                    </w:rPr>
                  </w:pPr>
                  <w:r>
                    <w:rPr>
                      <w:rFonts w:hint="eastAsia"/>
                      <w:b/>
                      <w:bCs/>
                      <w:color w:val="auto"/>
                      <w:highlight w:val="none"/>
                    </w:rPr>
                    <w:t>设备名称</w:t>
                  </w:r>
                </w:p>
              </w:tc>
              <w:tc>
                <w:tcPr>
                  <w:tcW w:w="4442" w:type="dxa"/>
                  <w:vAlign w:val="center"/>
                </w:tcPr>
                <w:p>
                  <w:pPr>
                    <w:keepNext w:val="0"/>
                    <w:keepLines w:val="0"/>
                    <w:suppressLineNumbers w:val="0"/>
                    <w:spacing w:before="0" w:beforeAutospacing="0" w:after="0" w:afterAutospacing="0"/>
                    <w:ind w:left="0" w:right="0"/>
                    <w:jc w:val="center"/>
                    <w:rPr>
                      <w:rFonts w:hint="default"/>
                      <w:b/>
                      <w:bCs/>
                      <w:color w:val="auto"/>
                      <w:highlight w:val="none"/>
                    </w:rPr>
                  </w:pPr>
                  <w:r>
                    <w:rPr>
                      <w:rFonts w:hint="eastAsia"/>
                      <w:b/>
                      <w:bCs/>
                      <w:color w:val="auto"/>
                      <w:highlight w:val="none"/>
                    </w:rPr>
                    <w:t>产品配置需求</w:t>
                  </w:r>
                </w:p>
              </w:tc>
              <w:tc>
                <w:tcPr>
                  <w:tcW w:w="672" w:type="dxa"/>
                  <w:vAlign w:val="center"/>
                </w:tcPr>
                <w:p>
                  <w:pPr>
                    <w:keepNext w:val="0"/>
                    <w:keepLines w:val="0"/>
                    <w:suppressLineNumbers w:val="0"/>
                    <w:spacing w:before="0" w:beforeAutospacing="0" w:after="0" w:afterAutospacing="0"/>
                    <w:ind w:left="0" w:right="0"/>
                    <w:jc w:val="center"/>
                    <w:rPr>
                      <w:rFonts w:hint="default"/>
                      <w:b/>
                      <w:bCs/>
                      <w:color w:val="auto"/>
                      <w:highlight w:val="none"/>
                    </w:rPr>
                  </w:pPr>
                  <w:r>
                    <w:rPr>
                      <w:rFonts w:hint="eastAsia"/>
                      <w:b/>
                      <w:bCs/>
                      <w:color w:val="auto"/>
                      <w:highlight w:val="none"/>
                    </w:rPr>
                    <w:t>数量</w:t>
                  </w:r>
                </w:p>
              </w:tc>
              <w:tc>
                <w:tcPr>
                  <w:tcW w:w="765" w:type="dxa"/>
                  <w:vAlign w:val="center"/>
                </w:tcPr>
                <w:p>
                  <w:pPr>
                    <w:keepNext w:val="0"/>
                    <w:keepLines w:val="0"/>
                    <w:suppressLineNumbers w:val="0"/>
                    <w:spacing w:before="0" w:beforeAutospacing="0" w:after="0" w:afterAutospacing="0"/>
                    <w:ind w:left="0" w:right="0"/>
                    <w:jc w:val="center"/>
                    <w:rPr>
                      <w:rFonts w:hint="default"/>
                      <w:b/>
                      <w:bCs/>
                      <w:color w:val="auto"/>
                      <w:highlight w:val="none"/>
                    </w:rPr>
                  </w:pPr>
                  <w:r>
                    <w:rPr>
                      <w:rFonts w:hint="eastAsia"/>
                      <w:b/>
                      <w:bCs/>
                      <w:color w:val="auto"/>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219"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lang w:eastAsia="zh-Hans"/>
                    </w:rPr>
                  </w:pPr>
                  <w:r>
                    <w:rPr>
                      <w:rFonts w:hint="eastAsia" w:ascii="宋体" w:hAnsi="宋体" w:eastAsia="宋体" w:cs="宋体"/>
                      <w:color w:val="auto"/>
                      <w:kern w:val="0"/>
                      <w:szCs w:val="21"/>
                      <w:highlight w:val="none"/>
                      <w:lang w:eastAsia="zh-Hans"/>
                    </w:rPr>
                    <w:t>San交换机</w:t>
                  </w:r>
                </w:p>
              </w:tc>
              <w:tc>
                <w:tcPr>
                  <w:tcW w:w="4442" w:type="dxa"/>
                  <w:vAlign w:val="center"/>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szCs w:val="21"/>
                      <w:highlight w:val="none"/>
                      <w:lang w:eastAsia="zh-Hans"/>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bidi="ar"/>
                    </w:rPr>
                    <w:t>24口32GB交换机，配</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bidi="ar"/>
                    </w:rPr>
                    <w:t>8个32GB短波模块，</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bidi="ar"/>
                    </w:rPr>
                    <w:t>14个16GB短波模块，</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bidi="ar"/>
                    </w:rPr>
                    <w:t>2个</w:t>
                  </w:r>
                  <w:r>
                    <w:rPr>
                      <w:rFonts w:hint="eastAsia" w:ascii="宋体" w:hAnsi="宋体" w:eastAsia="宋体" w:cs="宋体"/>
                      <w:color w:val="auto"/>
                      <w:kern w:val="0"/>
                      <w:szCs w:val="21"/>
                      <w:highlight w:val="none"/>
                      <w:lang w:val="en-US" w:eastAsia="zh-CN" w:bidi="ar"/>
                    </w:rPr>
                    <w:t>32</w:t>
                  </w:r>
                  <w:r>
                    <w:rPr>
                      <w:rFonts w:hint="eastAsia" w:ascii="宋体" w:hAnsi="宋体" w:eastAsia="宋体" w:cs="宋体"/>
                      <w:color w:val="auto"/>
                      <w:kern w:val="0"/>
                      <w:szCs w:val="21"/>
                      <w:highlight w:val="none"/>
                      <w:lang w:bidi="ar"/>
                    </w:rPr>
                    <w:t>GB长波模块，支持TRUNKING License，支持长波光纤级联，光交级联距离约700米。</w:t>
                  </w:r>
                  <w:r>
                    <w:rPr>
                      <w:rFonts w:hint="eastAsia" w:ascii="宋体" w:hAnsi="宋体" w:eastAsia="宋体" w:cs="宋体"/>
                      <w:color w:val="auto"/>
                      <w:kern w:val="0"/>
                      <w:szCs w:val="21"/>
                      <w:highlight w:val="none"/>
                    </w:rPr>
                    <w:t>分别冗余部署在两个机房，</w:t>
                  </w:r>
                  <w:r>
                    <w:rPr>
                      <w:rFonts w:hint="eastAsia" w:ascii="宋体" w:hAnsi="宋体" w:eastAsia="宋体" w:cs="宋体"/>
                      <w:color w:val="auto"/>
                      <w:kern w:val="0"/>
                      <w:szCs w:val="21"/>
                      <w:highlight w:val="none"/>
                      <w:lang w:eastAsia="zh-Hans"/>
                    </w:rPr>
                    <w:t>3</w:t>
                  </w:r>
                  <w:r>
                    <w:rPr>
                      <w:rFonts w:hint="eastAsia" w:ascii="宋体" w:hAnsi="宋体" w:eastAsia="宋体" w:cs="宋体"/>
                      <w:color w:val="auto"/>
                      <w:kern w:val="0"/>
                      <w:szCs w:val="21"/>
                      <w:highlight w:val="none"/>
                    </w:rPr>
                    <w:t>年7×24</w:t>
                  </w:r>
                  <w:r>
                    <w:rPr>
                      <w:rFonts w:hint="eastAsia" w:ascii="宋体" w:hAnsi="宋体" w:eastAsia="宋体" w:cs="宋体"/>
                      <w:color w:val="auto"/>
                      <w:kern w:val="0"/>
                      <w:szCs w:val="21"/>
                      <w:highlight w:val="none"/>
                      <w:lang w:eastAsia="zh-Hans"/>
                    </w:rPr>
                    <w:t>原厂</w:t>
                  </w:r>
                  <w:r>
                    <w:rPr>
                      <w:rFonts w:hint="eastAsia" w:ascii="宋体" w:hAnsi="宋体" w:eastAsia="宋体" w:cs="宋体"/>
                      <w:color w:val="auto"/>
                      <w:kern w:val="0"/>
                      <w:szCs w:val="21"/>
                      <w:highlight w:val="none"/>
                    </w:rPr>
                    <w:t>保修服务。</w:t>
                  </w:r>
                </w:p>
              </w:tc>
              <w:tc>
                <w:tcPr>
                  <w:tcW w:w="672"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4</w:t>
                  </w:r>
                </w:p>
              </w:tc>
              <w:tc>
                <w:tcPr>
                  <w:tcW w:w="765"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lang w:eastAsia="zh-Hans"/>
                    </w:rPr>
                  </w:pPr>
                  <w:r>
                    <w:rPr>
                      <w:rFonts w:hint="eastAsia" w:ascii="宋体" w:hAnsi="宋体" w:eastAsia="宋体" w:cs="宋体"/>
                      <w:color w:val="auto"/>
                      <w:kern w:val="0"/>
                      <w:szCs w:val="21"/>
                      <w:highlight w:val="none"/>
                      <w:lang w:eastAsia="zh-Hans"/>
                    </w:rPr>
                    <w:t>台</w:t>
                  </w:r>
                </w:p>
              </w:tc>
            </w:tr>
          </w:tbl>
          <w:p>
            <w:pPr>
              <w:pStyle w:val="2"/>
              <w:keepLines w:val="0"/>
              <w:suppressLineNumbers w:val="0"/>
              <w:spacing w:before="0" w:beforeAutospacing="0" w:after="0" w:afterAutospacing="0"/>
              <w:ind w:left="0" w:right="0"/>
              <w:rPr>
                <w:rFonts w:hint="default" w:ascii="宋体" w:eastAsia="宋体" w:cs="宋体"/>
                <w:color w:val="auto"/>
                <w:sz w:val="21"/>
                <w:szCs w:val="21"/>
                <w:highlight w:val="none"/>
              </w:rPr>
            </w:pPr>
          </w:p>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dxa"/>
          </w:tcPr>
          <w:p>
            <w:pPr>
              <w:keepNext w:val="0"/>
              <w:keepLines w:val="0"/>
              <w:suppressLineNumbers w:val="0"/>
              <w:spacing w:before="0" w:beforeAutospacing="0" w:after="0" w:afterAutospacing="0"/>
              <w:ind w:left="0" w:right="0"/>
              <w:rPr>
                <w:rFonts w:hint="default"/>
                <w:color w:val="auto"/>
                <w:highlight w:val="none"/>
              </w:rPr>
            </w:pPr>
          </w:p>
        </w:tc>
        <w:tc>
          <w:tcPr>
            <w:tcW w:w="426" w:type="dxa"/>
          </w:tcPr>
          <w:p>
            <w:pPr>
              <w:keepNext w:val="0"/>
              <w:keepLines w:val="0"/>
              <w:numPr>
                <w:ilvl w:val="0"/>
                <w:numId w:val="3"/>
              </w:numPr>
              <w:suppressLineNumbers w:val="0"/>
              <w:spacing w:before="0" w:beforeAutospacing="0" w:after="0" w:afterAutospacing="0"/>
              <w:ind w:right="0"/>
              <w:jc w:val="center"/>
              <w:rPr>
                <w:rFonts w:hint="default"/>
                <w:color w:val="auto"/>
                <w:highlight w:val="none"/>
              </w:rPr>
            </w:pPr>
          </w:p>
        </w:tc>
        <w:tc>
          <w:tcPr>
            <w:tcW w:w="7560" w:type="dxa"/>
          </w:tcPr>
          <w:p>
            <w:pPr>
              <w:keepNext w:val="0"/>
              <w:keepLines w:val="0"/>
              <w:suppressLineNumbers w:val="0"/>
              <w:spacing w:before="0" w:beforeAutospacing="0" w:after="0" w:afterAutospacing="0"/>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技术要求：</w:t>
            </w:r>
          </w:p>
          <w:tbl>
            <w:tblPr>
              <w:tblStyle w:val="4"/>
              <w:tblW w:w="73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50" w:type="dxa"/>
                <w:left w:w="100" w:type="dxa"/>
                <w:bottom w:w="50" w:type="dxa"/>
                <w:right w:w="100" w:type="dxa"/>
              </w:tblCellMar>
            </w:tblPr>
            <w:tblGrid>
              <w:gridCol w:w="1592"/>
              <w:gridCol w:w="57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0" w:type="dxa"/>
                  <w:left w:w="100" w:type="dxa"/>
                  <w:bottom w:w="50" w:type="dxa"/>
                  <w:right w:w="100" w:type="dxa"/>
                </w:tblCellMar>
              </w:tblPrEx>
              <w:trPr>
                <w:trHeight w:val="544" w:hRule="atLeast"/>
                <w:tblHeader/>
                <w:jc w:val="center"/>
              </w:trPr>
              <w:tc>
                <w:tcPr>
                  <w:tcW w:w="1592"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b/>
                      <w:color w:val="auto"/>
                      <w:szCs w:val="21"/>
                      <w:highlight w:val="none"/>
                    </w:rPr>
                    <w:t>技术指标</w:t>
                  </w:r>
                </w:p>
              </w:tc>
              <w:tc>
                <w:tcPr>
                  <w:tcW w:w="5747" w:type="dxa"/>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b/>
                      <w:color w:val="auto"/>
                      <w:szCs w:val="21"/>
                      <w:highlight w:val="none"/>
                    </w:rPr>
                    <w:t>技术参数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0" w:type="dxa"/>
                  <w:left w:w="100" w:type="dxa"/>
                  <w:bottom w:w="50" w:type="dxa"/>
                  <w:right w:w="100" w:type="dxa"/>
                </w:tblCellMar>
              </w:tblPrEx>
              <w:trPr>
                <w:trHeight w:val="3616" w:hRule="atLeast"/>
                <w:jc w:val="center"/>
              </w:trPr>
              <w:tc>
                <w:tcPr>
                  <w:tcW w:w="1592" w:type="dxa"/>
                  <w:tcBorders>
                    <w:top w:val="single" w:color="auto" w:sz="2" w:space="0"/>
                    <w:left w:val="single" w:color="auto" w:sz="2" w:space="0"/>
                    <w:right w:val="single" w:color="auto" w:sz="2"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▲配置要求</w:t>
                  </w:r>
                </w:p>
              </w:tc>
              <w:tc>
                <w:tcPr>
                  <w:tcW w:w="5747" w:type="dxa"/>
                  <w:tcBorders>
                    <w:top w:val="single" w:color="auto" w:sz="2" w:space="0"/>
                    <w:left w:val="single" w:color="auto" w:sz="2" w:space="0"/>
                    <w:right w:val="single" w:color="auto" w:sz="2" w:space="0"/>
                  </w:tcBorders>
                  <w:vAlign w:val="center"/>
                </w:tcPr>
                <w:p>
                  <w:pPr>
                    <w:keepNext w:val="0"/>
                    <w:keepLines w:val="0"/>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1、支持FC 32Gb/s、16Gb/s、8Gb/s、4Gb/s自适应传输速率。</w:t>
                  </w:r>
                </w:p>
                <w:p>
                  <w:pPr>
                    <w:keepNext w:val="0"/>
                    <w:keepLines w:val="0"/>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2、最大可扩展端口≥24，配置≥24个激活端口。</w:t>
                  </w:r>
                </w:p>
                <w:p>
                  <w:pPr>
                    <w:keepNext w:val="0"/>
                    <w:keepLines w:val="0"/>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3、最大总带宽≥768 Gb/s 。</w:t>
                  </w:r>
                </w:p>
                <w:p>
                  <w:pPr>
                    <w:keepNext w:val="0"/>
                    <w:keepLines w:val="0"/>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4、配置≥8个32Gb光模块，≥1</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个16G光模块，≥2个32Gb 10km长波模块，配32条光纤跳线。</w:t>
                  </w:r>
                </w:p>
                <w:p>
                  <w:pPr>
                    <w:keepNext w:val="0"/>
                    <w:keepLines w:val="0"/>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5、配置双电源。</w:t>
                  </w:r>
                </w:p>
                <w:p>
                  <w:pPr>
                    <w:keepNext w:val="0"/>
                    <w:keepLines w:val="0"/>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6、配置Power Pack+ Upgrade 电子版许可。</w:t>
                  </w:r>
                </w:p>
                <w:p>
                  <w:pPr>
                    <w:keepNext w:val="0"/>
                    <w:keepLines w:val="0"/>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b/>
                      <w:bCs/>
                      <w:color w:val="auto"/>
                      <w:szCs w:val="21"/>
                      <w:highlight w:val="none"/>
                    </w:rPr>
                    <w:t>注：提供官网截图或产品彩页。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0" w:type="dxa"/>
                  <w:left w:w="100" w:type="dxa"/>
                  <w:bottom w:w="50" w:type="dxa"/>
                  <w:right w:w="100" w:type="dxa"/>
                </w:tblCellMar>
              </w:tblPrEx>
              <w:trPr>
                <w:trHeight w:val="544" w:hRule="atLeast"/>
                <w:jc w:val="center"/>
              </w:trPr>
              <w:tc>
                <w:tcPr>
                  <w:tcW w:w="159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端口类型</w:t>
                  </w:r>
                </w:p>
              </w:tc>
              <w:tc>
                <w:tcPr>
                  <w:tcW w:w="57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同时支持F/E/M/D/EX等端口类型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0" w:type="dxa"/>
                  <w:left w:w="100" w:type="dxa"/>
                  <w:bottom w:w="50" w:type="dxa"/>
                  <w:right w:w="100" w:type="dxa"/>
                </w:tblCellMar>
              </w:tblPrEx>
              <w:trPr>
                <w:trHeight w:val="983" w:hRule="atLeast"/>
                <w:jc w:val="center"/>
              </w:trPr>
              <w:tc>
                <w:tcPr>
                  <w:tcW w:w="159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链路捆绑</w:t>
                  </w:r>
                </w:p>
              </w:tc>
              <w:tc>
                <w:tcPr>
                  <w:tcW w:w="57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支持基于数据帧级的“即插即用”的链路捆绑功能，单个链路聚合带宽最大256G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0" w:type="dxa"/>
                  <w:left w:w="100" w:type="dxa"/>
                  <w:bottom w:w="50" w:type="dxa"/>
                  <w:right w:w="100" w:type="dxa"/>
                </w:tblCellMar>
              </w:tblPrEx>
              <w:trPr>
                <w:trHeight w:val="544" w:hRule="atLeast"/>
                <w:jc w:val="center"/>
              </w:trPr>
              <w:tc>
                <w:tcPr>
                  <w:tcW w:w="159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服务配置</w:t>
                  </w:r>
                </w:p>
              </w:tc>
              <w:tc>
                <w:tcPr>
                  <w:tcW w:w="57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★提供3年7×24</w:t>
                  </w:r>
                  <w:r>
                    <w:rPr>
                      <w:rFonts w:hint="eastAsia" w:ascii="宋体" w:hAnsi="宋体" w:eastAsia="宋体" w:cs="宋体"/>
                      <w:color w:val="auto"/>
                      <w:szCs w:val="21"/>
                      <w:highlight w:val="none"/>
                      <w:lang w:val="en-US" w:eastAsia="zh-CN"/>
                    </w:rPr>
                    <w:t>小时</w:t>
                  </w:r>
                  <w:r>
                    <w:rPr>
                      <w:rFonts w:hint="eastAsia" w:ascii="宋体" w:hAnsi="宋体" w:eastAsia="宋体" w:cs="宋体"/>
                      <w:color w:val="auto"/>
                      <w:szCs w:val="21"/>
                      <w:highlight w:val="none"/>
                    </w:rPr>
                    <w:t>原厂服务</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需提供承诺函，内容包括但不限于以下内容:</w:t>
                  </w:r>
                  <w:r>
                    <w:rPr>
                      <w:rFonts w:hint="eastAsia" w:ascii="宋体" w:hAnsi="宋体" w:eastAsia="宋体" w:cs="宋体"/>
                      <w:b/>
                      <w:bCs/>
                      <w:color w:val="auto"/>
                      <w:szCs w:val="21"/>
                      <w:highlight w:val="none"/>
                    </w:rPr>
                    <w:t>承诺</w:t>
                  </w:r>
                  <w:r>
                    <w:rPr>
                      <w:rFonts w:hint="eastAsia" w:ascii="宋体" w:hAnsi="宋体" w:eastAsia="宋体" w:cs="宋体"/>
                      <w:b/>
                      <w:bCs/>
                      <w:color w:val="auto"/>
                      <w:szCs w:val="21"/>
                      <w:highlight w:val="none"/>
                      <w:lang w:val="en-US" w:eastAsia="zh-CN"/>
                    </w:rPr>
                    <w:t>合同签订前</w:t>
                  </w:r>
                  <w:r>
                    <w:rPr>
                      <w:rFonts w:hint="eastAsia" w:ascii="宋体" w:hAnsi="宋体" w:eastAsia="宋体" w:cs="宋体"/>
                      <w:b/>
                      <w:bCs/>
                      <w:color w:val="auto"/>
                      <w:szCs w:val="21"/>
                      <w:highlight w:val="none"/>
                    </w:rPr>
                    <w:t>提供设备制造厂商</w:t>
                  </w:r>
                  <w:r>
                    <w:rPr>
                      <w:rFonts w:hint="eastAsia" w:ascii="宋体" w:hAnsi="宋体" w:eastAsia="宋体" w:cs="宋体"/>
                      <w:b/>
                      <w:bCs/>
                      <w:color w:val="auto"/>
                      <w:szCs w:val="21"/>
                      <w:highlight w:val="none"/>
                      <w:lang w:val="en-US" w:eastAsia="zh-CN"/>
                    </w:rPr>
                    <w:t>或其合法代理商出具</w:t>
                  </w:r>
                  <w:r>
                    <w:rPr>
                      <w:rFonts w:hint="eastAsia" w:ascii="宋体" w:hAnsi="宋体" w:eastAsia="宋体" w:cs="宋体"/>
                      <w:b/>
                      <w:bCs/>
                      <w:color w:val="auto"/>
                      <w:szCs w:val="21"/>
                      <w:highlight w:val="none"/>
                    </w:rPr>
                    <w:t>的合法有效的售后服务承诺函。</w:t>
                  </w:r>
                  <w:r>
                    <w:rPr>
                      <w:rFonts w:hint="eastAsia" w:ascii="宋体" w:hAnsi="宋体" w:eastAsia="宋体" w:cs="宋体"/>
                      <w:b/>
                      <w:bCs/>
                      <w:color w:val="auto"/>
                      <w:szCs w:val="21"/>
                      <w:highlight w:val="none"/>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0" w:type="dxa"/>
                  <w:left w:w="100" w:type="dxa"/>
                  <w:bottom w:w="50" w:type="dxa"/>
                  <w:right w:w="100" w:type="dxa"/>
                </w:tblCellMar>
              </w:tblPrEx>
              <w:trPr>
                <w:trHeight w:val="549" w:hRule="atLeast"/>
                <w:jc w:val="center"/>
              </w:trPr>
              <w:tc>
                <w:tcPr>
                  <w:tcW w:w="1592"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▲许可</w:t>
                  </w:r>
                </w:p>
              </w:tc>
              <w:tc>
                <w:tcPr>
                  <w:tcW w:w="5747" w:type="dxa"/>
                  <w:tcBorders>
                    <w:top w:val="single" w:color="auto" w:sz="2" w:space="0"/>
                    <w:left w:val="single" w:color="auto" w:sz="2" w:space="0"/>
                    <w:bottom w:val="single" w:color="auto" w:sz="2" w:space="0"/>
                    <w:right w:val="single" w:color="auto" w:sz="2" w:space="0"/>
                  </w:tcBorders>
                  <w:vAlign w:val="center"/>
                </w:tcPr>
                <w:p>
                  <w:pPr>
                    <w:keepNext w:val="0"/>
                    <w:keepLines w:val="0"/>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中继许可授权，支持长波级联</w:t>
                  </w:r>
                </w:p>
              </w:tc>
            </w:tr>
          </w:tbl>
          <w:p>
            <w:pPr>
              <w:pStyle w:val="2"/>
              <w:keepLines w:val="0"/>
              <w:suppressLineNumbers w:val="0"/>
              <w:spacing w:before="0" w:beforeAutospacing="0" w:after="0" w:afterAutospacing="0"/>
              <w:ind w:left="0" w:right="0"/>
              <w:rPr>
                <w:rFonts w:hint="default" w:ascii="宋体" w:eastAsia="宋体" w:cs="宋体"/>
                <w:color w:val="auto"/>
                <w:sz w:val="21"/>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36"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说明</w:t>
            </w:r>
          </w:p>
        </w:tc>
        <w:tc>
          <w:tcPr>
            <w:tcW w:w="7986" w:type="dxa"/>
            <w:gridSpan w:val="2"/>
          </w:tcPr>
          <w:p>
            <w:pPr>
              <w:keepNext w:val="0"/>
              <w:keepLines w:val="0"/>
              <w:suppressLineNumbers w:val="0"/>
              <w:spacing w:before="0" w:beforeAutospacing="0" w:after="0" w:afterAutospacing="0"/>
              <w:ind w:left="0" w:right="0"/>
              <w:jc w:val="left"/>
              <w:rPr>
                <w:rFonts w:hint="default"/>
                <w:color w:val="auto"/>
                <w:highlight w:val="none"/>
              </w:rPr>
            </w:pPr>
            <w:r>
              <w:rPr>
                <w:rFonts w:hint="default"/>
                <w:color w:val="auto"/>
                <w:highlight w:val="none"/>
              </w:rPr>
              <w:t>打“★”号条款为实质性条款，若有任何一条负偏离或不满足则导致投标无效。</w:t>
            </w:r>
            <w:r>
              <w:rPr>
                <w:rFonts w:hint="default"/>
                <w:color w:val="auto"/>
                <w:highlight w:val="none"/>
              </w:rPr>
              <w:br w:type="textWrapping"/>
            </w:r>
            <w:r>
              <w:rPr>
                <w:rFonts w:hint="default"/>
                <w:color w:val="auto"/>
                <w:highlight w:val="none"/>
              </w:rPr>
              <w:t>打“▲”号条款为重要技术参数，若有部分“▲”条款未响应或不满足，将导致其响应性评审加重扣分，但不作为无效投标条款。</w:t>
            </w:r>
          </w:p>
        </w:tc>
      </w:tr>
    </w:tbl>
    <w:p>
      <w:pPr>
        <w:rPr>
          <w:color w:val="auto"/>
          <w:highlight w:val="none"/>
        </w:rPr>
      </w:pPr>
    </w:p>
    <w:p>
      <w:pPr>
        <w:rPr>
          <w:color w:val="auto"/>
          <w:highlight w:val="none"/>
        </w:rPr>
      </w:pPr>
      <w:r>
        <w:rPr>
          <w:b/>
          <w:color w:val="auto"/>
          <w:highlight w:val="none"/>
        </w:rPr>
        <w:t>附表</w:t>
      </w:r>
      <w:r>
        <w:rPr>
          <w:rFonts w:hint="eastAsia"/>
          <w:b/>
          <w:color w:val="auto"/>
          <w:highlight w:val="none"/>
        </w:rPr>
        <w:t>三</w:t>
      </w:r>
      <w:r>
        <w:rPr>
          <w:b/>
          <w:color w:val="auto"/>
          <w:highlight w:val="none"/>
        </w:rPr>
        <w:t>：</w:t>
      </w:r>
      <w:r>
        <w:rPr>
          <w:rFonts w:hint="eastAsia"/>
          <w:b/>
          <w:color w:val="auto"/>
          <w:highlight w:val="none"/>
        </w:rPr>
        <w:t>实时数据保护平台</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11"/>
        <w:gridCol w:w="426"/>
        <w:gridCol w:w="748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1"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参数性质</w:t>
            </w:r>
          </w:p>
        </w:tc>
        <w:tc>
          <w:tcPr>
            <w:tcW w:w="426"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序号</w:t>
            </w:r>
          </w:p>
        </w:tc>
        <w:tc>
          <w:tcPr>
            <w:tcW w:w="7485"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1" w:type="dxa"/>
          </w:tcPr>
          <w:p>
            <w:pPr>
              <w:keepNext w:val="0"/>
              <w:keepLines w:val="0"/>
              <w:suppressLineNumbers w:val="0"/>
              <w:spacing w:before="0" w:beforeAutospacing="0" w:after="0" w:afterAutospacing="0"/>
              <w:ind w:left="0" w:right="0"/>
              <w:rPr>
                <w:rFonts w:hint="default"/>
                <w:color w:val="auto"/>
                <w:highlight w:val="none"/>
              </w:rPr>
            </w:pPr>
          </w:p>
        </w:tc>
        <w:tc>
          <w:tcPr>
            <w:tcW w:w="426" w:type="dxa"/>
          </w:tcPr>
          <w:p>
            <w:pPr>
              <w:keepNext w:val="0"/>
              <w:keepLines w:val="0"/>
              <w:numPr>
                <w:ilvl w:val="0"/>
                <w:numId w:val="4"/>
              </w:numPr>
              <w:suppressLineNumbers w:val="0"/>
              <w:spacing w:before="0" w:beforeAutospacing="0" w:after="0" w:afterAutospacing="0"/>
              <w:ind w:right="0"/>
              <w:jc w:val="center"/>
              <w:rPr>
                <w:rFonts w:hint="default"/>
                <w:color w:val="auto"/>
                <w:highlight w:val="none"/>
              </w:rPr>
            </w:pPr>
          </w:p>
        </w:tc>
        <w:tc>
          <w:tcPr>
            <w:tcW w:w="7485" w:type="dxa"/>
          </w:tcPr>
          <w:p>
            <w:pPr>
              <w:keepNext w:val="0"/>
              <w:keepLines w:val="0"/>
              <w:suppressLineNumbers w:val="0"/>
              <w:spacing w:before="0" w:beforeAutospacing="0" w:after="0" w:afterAutospacing="0"/>
              <w:ind w:left="0" w:right="0"/>
              <w:rPr>
                <w:rFonts w:hint="default" w:ascii="宋体" w:hAnsi="宋体" w:eastAsia="宋体" w:cs="宋体"/>
                <w:b/>
                <w:color w:val="auto"/>
                <w:szCs w:val="21"/>
                <w:highlight w:val="none"/>
              </w:rPr>
            </w:pPr>
          </w:p>
          <w:tbl>
            <w:tblPr>
              <w:tblStyle w:val="7"/>
              <w:tblW w:w="7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1"/>
              <w:gridCol w:w="4517"/>
              <w:gridCol w:w="683"/>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241" w:type="dxa"/>
                  <w:vAlign w:val="center"/>
                </w:tcPr>
                <w:p>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ascii="宋体" w:hAnsi="宋体" w:eastAsia="宋体" w:cs="宋体"/>
                      <w:b/>
                      <w:bCs/>
                      <w:color w:val="auto"/>
                      <w:kern w:val="0"/>
                      <w:szCs w:val="21"/>
                      <w:highlight w:val="none"/>
                    </w:rPr>
                    <w:t>设备名称</w:t>
                  </w:r>
                </w:p>
              </w:tc>
              <w:tc>
                <w:tcPr>
                  <w:tcW w:w="4517" w:type="dxa"/>
                  <w:vAlign w:val="center"/>
                </w:tcPr>
                <w:p>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ascii="宋体" w:hAnsi="宋体" w:eastAsia="宋体" w:cs="宋体"/>
                      <w:b/>
                      <w:bCs/>
                      <w:color w:val="auto"/>
                      <w:kern w:val="0"/>
                      <w:szCs w:val="21"/>
                      <w:highlight w:val="none"/>
                    </w:rPr>
                    <w:t>产品配置需求</w:t>
                  </w:r>
                </w:p>
              </w:tc>
              <w:tc>
                <w:tcPr>
                  <w:tcW w:w="683" w:type="dxa"/>
                  <w:vAlign w:val="center"/>
                </w:tcPr>
                <w:p>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ascii="宋体" w:hAnsi="宋体" w:eastAsia="宋体" w:cs="宋体"/>
                      <w:b/>
                      <w:bCs/>
                      <w:color w:val="auto"/>
                      <w:kern w:val="0"/>
                      <w:szCs w:val="21"/>
                      <w:highlight w:val="none"/>
                    </w:rPr>
                    <w:t>数量</w:t>
                  </w:r>
                </w:p>
              </w:tc>
              <w:tc>
                <w:tcPr>
                  <w:tcW w:w="777" w:type="dxa"/>
                  <w:vAlign w:val="center"/>
                </w:tcPr>
                <w:p>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ascii="宋体" w:hAnsi="宋体" w:eastAsia="宋体" w:cs="宋体"/>
                      <w:b/>
                      <w:bCs/>
                      <w:color w:val="auto"/>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8" w:hRule="atLeast"/>
                <w:jc w:val="center"/>
              </w:trPr>
              <w:tc>
                <w:tcPr>
                  <w:tcW w:w="1241"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lang w:eastAsia="zh-Hans"/>
                    </w:rPr>
                  </w:pPr>
                  <w:r>
                    <w:rPr>
                      <w:rFonts w:hint="eastAsia" w:ascii="宋体" w:hAnsi="宋体" w:eastAsia="宋体" w:cs="宋体"/>
                      <w:color w:val="auto"/>
                      <w:kern w:val="0"/>
                      <w:szCs w:val="21"/>
                      <w:highlight w:val="none"/>
                    </w:rPr>
                    <w:t>实时数据保护平台</w:t>
                  </w:r>
                </w:p>
              </w:tc>
              <w:tc>
                <w:tcPr>
                  <w:tcW w:w="4517" w:type="dxa"/>
                  <w:vAlign w:val="center"/>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szCs w:val="21"/>
                      <w:highlight w:val="none"/>
                      <w:lang w:eastAsia="zh-Hans"/>
                    </w:rPr>
                  </w:pPr>
                  <w:r>
                    <w:rPr>
                      <w:rFonts w:hint="eastAsia" w:ascii="宋体" w:hAnsi="宋体" w:eastAsia="宋体" w:cs="宋体"/>
                      <w:color w:val="auto"/>
                      <w:kern w:val="0"/>
                      <w:szCs w:val="21"/>
                      <w:highlight w:val="none"/>
                    </w:rPr>
                    <w:t>配置2颗Intel 至强CPU，每颗CPU核心数不少于10，主频不低于2.2GHz；配置≥256G DDR4 RAM,可扩展至不低于 1024GB。 系统盘≥2 块 480GBSSD，存储裸容量≥96TB，支持在线扩容，可通过后期扩展磁盘柜等方式，进行备份介质容量的增加。 配置≥2 个千兆网口，≥2 个万兆光纤网口；网络端口都可用且可分配不同的备份任务。 提供不少于 4 个PCI-E 扩容槽。 配置冗余热插拔电源，并标配冗余风扇。 配置不低于 96TB 后端容量软件许可授权，不限备份客户端数量，须提供Oracle Data Guard 备份/恢复、HotDB 等数据库备份/恢复、华为云 Stack/SmartX 等虚拟化平台备份/恢复、重复数据删除、数据库连续日志备份、Kubernetes (K8S) 备份和恢复、文件合成备份、文件副本管理、数据库合成备份、数据库副本管理、Oracle/Mysql等数据库容灾演练等功能。</w:t>
                  </w:r>
                </w:p>
              </w:tc>
              <w:tc>
                <w:tcPr>
                  <w:tcW w:w="683"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777"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lang w:eastAsia="zh-Hans"/>
                    </w:rPr>
                  </w:pPr>
                  <w:r>
                    <w:rPr>
                      <w:rFonts w:hint="eastAsia" w:ascii="宋体" w:hAnsi="宋体" w:eastAsia="宋体" w:cs="宋体"/>
                      <w:color w:val="auto"/>
                      <w:kern w:val="0"/>
                      <w:szCs w:val="21"/>
                      <w:highlight w:val="none"/>
                    </w:rPr>
                    <w:t>套</w:t>
                  </w:r>
                </w:p>
              </w:tc>
            </w:tr>
          </w:tbl>
          <w:p>
            <w:pPr>
              <w:pStyle w:val="2"/>
              <w:keepLines w:val="0"/>
              <w:suppressLineNumbers w:val="0"/>
              <w:spacing w:before="0" w:beforeAutospacing="0" w:after="0" w:afterAutospacing="0"/>
              <w:ind w:left="0" w:right="0"/>
              <w:rPr>
                <w:rFonts w:hint="default" w:ascii="宋体" w:eastAsia="宋体" w:cs="宋体"/>
                <w:color w:val="auto"/>
                <w:sz w:val="21"/>
                <w:szCs w:val="21"/>
                <w:highlight w:val="none"/>
              </w:rPr>
            </w:pPr>
          </w:p>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1" w:type="dxa"/>
          </w:tcPr>
          <w:p>
            <w:pPr>
              <w:keepNext w:val="0"/>
              <w:keepLines w:val="0"/>
              <w:suppressLineNumbers w:val="0"/>
              <w:spacing w:before="0" w:beforeAutospacing="0" w:after="0" w:afterAutospacing="0"/>
              <w:ind w:left="0" w:right="0"/>
              <w:rPr>
                <w:rFonts w:hint="default"/>
                <w:color w:val="auto"/>
                <w:highlight w:val="none"/>
              </w:rPr>
            </w:pPr>
          </w:p>
        </w:tc>
        <w:tc>
          <w:tcPr>
            <w:tcW w:w="426" w:type="dxa"/>
          </w:tcPr>
          <w:p>
            <w:pPr>
              <w:keepNext w:val="0"/>
              <w:keepLines w:val="0"/>
              <w:numPr>
                <w:ilvl w:val="0"/>
                <w:numId w:val="4"/>
              </w:numPr>
              <w:suppressLineNumbers w:val="0"/>
              <w:spacing w:before="0" w:beforeAutospacing="0" w:after="0" w:afterAutospacing="0"/>
              <w:ind w:right="0"/>
              <w:jc w:val="center"/>
              <w:rPr>
                <w:rFonts w:hint="default"/>
                <w:color w:val="auto"/>
                <w:highlight w:val="none"/>
              </w:rPr>
            </w:pPr>
          </w:p>
        </w:tc>
        <w:tc>
          <w:tcPr>
            <w:tcW w:w="7485" w:type="dxa"/>
          </w:tcPr>
          <w:p>
            <w:pPr>
              <w:keepNext w:val="0"/>
              <w:keepLines w:val="0"/>
              <w:suppressLineNumbers w:val="0"/>
              <w:spacing w:before="0" w:beforeAutospacing="0" w:after="0" w:afterAutospacing="0"/>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技术要求：</w:t>
            </w:r>
          </w:p>
          <w:tbl>
            <w:tblPr>
              <w:tblStyle w:val="4"/>
              <w:tblW w:w="7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976"/>
              <w:gridCol w:w="5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blHeader/>
                <w:jc w:val="center"/>
              </w:trPr>
              <w:tc>
                <w:tcPr>
                  <w:tcW w:w="1513" w:type="dxa"/>
                  <w:gridSpan w:val="2"/>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指标项</w:t>
                  </w:r>
                </w:p>
              </w:tc>
              <w:tc>
                <w:tcPr>
                  <w:tcW w:w="5746" w:type="dxa"/>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技术规格性能要求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9" w:hRule="atLeast"/>
                <w:tblHeader/>
                <w:jc w:val="center"/>
              </w:trPr>
              <w:tc>
                <w:tcPr>
                  <w:tcW w:w="1513" w:type="dxa"/>
                  <w:gridSpan w:val="2"/>
                  <w:shd w:val="clear" w:color="000000" w:fill="auto"/>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bCs/>
                      <w:color w:val="auto"/>
                      <w:kern w:val="0"/>
                      <w:szCs w:val="21"/>
                      <w:highlight w:val="none"/>
                    </w:rPr>
                    <w:t>硬件性能要求</w:t>
                  </w:r>
                </w:p>
              </w:tc>
              <w:tc>
                <w:tcPr>
                  <w:tcW w:w="5746" w:type="dxa"/>
                  <w:shd w:val="clear" w:color="000000" w:fill="auto"/>
                  <w:vAlign w:val="center"/>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配置2颗Intel 至强CPU，每颗CPU核心数不少于10，主频不低于2.2GHz；配置≥256G DDR4 RAM,可扩展至不低于 1024GB。 系统盘≥2 块 480GBSSD，存储裸容量≥96TB，支持在线扩容，可通过后期扩展磁盘柜等方式，进行备份介质容量的增加。 配置≥2 个千兆网口，≥2 个万兆光纤网口；网络端口都可用且可分配不同的备份任务。 提供不少于 4 个PCI-E 扩容槽。 配置冗余热插拔电源，并标配冗余风扇。</w:t>
                  </w:r>
                  <w:r>
                    <w:rPr>
                      <w:rFonts w:hint="eastAsia" w:ascii="宋体" w:hAnsi="宋体" w:eastAsia="宋体" w:cs="宋体"/>
                      <w:b/>
                      <w:bCs/>
                      <w:color w:val="auto"/>
                      <w:szCs w:val="21"/>
                      <w:highlight w:val="none"/>
                    </w:rPr>
                    <w:t>提供官网截图或产品彩页</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3" w:hRule="atLeast"/>
                <w:tblHeader/>
                <w:jc w:val="center"/>
              </w:trPr>
              <w:tc>
                <w:tcPr>
                  <w:tcW w:w="1513" w:type="dxa"/>
                  <w:gridSpan w:val="2"/>
                  <w:shd w:val="clear" w:color="000000" w:fill="auto"/>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bCs/>
                      <w:color w:val="auto"/>
                      <w:kern w:val="0"/>
                      <w:szCs w:val="21"/>
                      <w:highlight w:val="none"/>
                    </w:rPr>
                    <w:t>软件性能要求</w:t>
                  </w:r>
                </w:p>
              </w:tc>
              <w:tc>
                <w:tcPr>
                  <w:tcW w:w="5746" w:type="dxa"/>
                  <w:shd w:val="clear" w:color="000000" w:fill="auto"/>
                  <w:vAlign w:val="center"/>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配置不低于 96TB 后端容量软件许可授权，不限备份客户端数量，须提供Oracle Data Guard 备份/恢复、HotDB 等数据库备份/恢复、华为云 Stack/SmartX 等虚拟化平台备份/恢复、重复数据删除、数据库连续日志备份、Kubernetes (K8S) 备份和恢复、文件合成备份、文件副本管理、数据库合成备份、数据库副本管理、Oracle/Mysql等数据库容灾演练等功能。</w:t>
                  </w:r>
                  <w:r>
                    <w:rPr>
                      <w:rFonts w:hint="eastAsia" w:ascii="宋体" w:hAnsi="宋体" w:eastAsia="宋体" w:cs="宋体"/>
                      <w:b/>
                      <w:bCs/>
                      <w:color w:val="auto"/>
                      <w:szCs w:val="21"/>
                      <w:highlight w:val="none"/>
                    </w:rPr>
                    <w:t>提供官网截图或产品彩页</w:t>
                  </w:r>
                  <w:r>
                    <w:rPr>
                      <w:rFonts w:hint="eastAsia" w:ascii="宋体" w:hAnsi="宋体" w:eastAsia="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9" w:hRule="atLeast"/>
                <w:tblHeader/>
                <w:jc w:val="center"/>
              </w:trPr>
              <w:tc>
                <w:tcPr>
                  <w:tcW w:w="1513" w:type="dxa"/>
                  <w:gridSpan w:val="2"/>
                  <w:shd w:val="clear" w:color="000000" w:fill="auto"/>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bCs/>
                      <w:color w:val="auto"/>
                      <w:kern w:val="0"/>
                      <w:szCs w:val="21"/>
                      <w:highlight w:val="none"/>
                    </w:rPr>
                    <w:t>基本要求</w:t>
                  </w:r>
                </w:p>
              </w:tc>
              <w:tc>
                <w:tcPr>
                  <w:tcW w:w="5746" w:type="dxa"/>
                  <w:shd w:val="clear" w:color="000000" w:fill="auto"/>
                  <w:vAlign w:val="center"/>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1、支持国产芯片和服务器平台，支持备份服务端或者客户端部署在x86、龙芯、飞腾、鲲鹏、海光、申威、兆芯等服务器平台上。</w:t>
                  </w:r>
                  <w:r>
                    <w:rPr>
                      <w:rFonts w:hint="eastAsia" w:ascii="宋体" w:hAnsi="宋体" w:eastAsia="宋体" w:cs="宋体"/>
                      <w:b/>
                      <w:bCs/>
                      <w:color w:val="auto"/>
                      <w:kern w:val="0"/>
                      <w:szCs w:val="21"/>
                      <w:highlight w:val="none"/>
                    </w:rPr>
                    <w:t>（提供备份系统与以上芯片的互认兼容性证明材料复印件，并加盖投标人公章）</w:t>
                  </w:r>
                  <w:r>
                    <w:rPr>
                      <w:rFonts w:hint="eastAsia" w:ascii="宋体" w:hAnsi="宋体" w:eastAsia="宋体" w:cs="宋体"/>
                      <w:color w:val="auto"/>
                      <w:kern w:val="0"/>
                      <w:szCs w:val="21"/>
                      <w:highlight w:val="none"/>
                    </w:rPr>
                    <w:t>。</w:t>
                  </w:r>
                </w:p>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2、支持分布式重删构建多节点集群架构，支持重删服务器节点的负载均衡，同一重删集群中存储节点动态伸缩。</w:t>
                  </w:r>
                </w:p>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3、满足备份系统功能要求且所有功能不限制业务系统客户端数量。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5" w:hRule="atLeast"/>
                <w:tblHeader/>
                <w:jc w:val="center"/>
              </w:trPr>
              <w:tc>
                <w:tcPr>
                  <w:tcW w:w="537" w:type="dxa"/>
                  <w:vMerge w:val="restart"/>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产品功能要求</w:t>
                  </w:r>
                </w:p>
              </w:tc>
              <w:tc>
                <w:tcPr>
                  <w:tcW w:w="976" w:type="dxa"/>
                  <w:shd w:val="clear" w:color="auto" w:fill="auto"/>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bCs/>
                      <w:color w:val="auto"/>
                      <w:kern w:val="0"/>
                      <w:szCs w:val="21"/>
                      <w:highlight w:val="none"/>
                    </w:rPr>
                    <w:t>数据库应用保护</w:t>
                  </w:r>
                </w:p>
              </w:tc>
              <w:tc>
                <w:tcPr>
                  <w:tcW w:w="5746" w:type="dxa"/>
                  <w:shd w:val="clear" w:color="auto" w:fill="auto"/>
                  <w:vAlign w:val="center"/>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1、具备广泛的国产数据库软件兼容性，包括但不限于达梦（DM）、人大金仓（Kingbase）、南大通用（GBase）、神舟通用（ShenTong）、GuassDB、openGauss、GoldenDB的备份恢复。</w:t>
                  </w:r>
                </w:p>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2、支持Oracle集群部署要求，包括：单机/HA/RAC/XE/ADG/RAC OneNode。支持Oracle RAC软件版本，包含：9i/10g/11g/12c/19c，以及支持Oracle 12c的PDB模式。支持Oracle单表恢复，包括Oracle 12c PDB 的单表恢复。</w:t>
                  </w:r>
                </w:p>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3、针对Oracle的redo log和archive log提供连续日志备份方式，实现RPO达到秒级的安全保护要求。</w:t>
                  </w:r>
                </w:p>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4、针对Oracle中已经提交的事务，根据日志解析后得到的SQL语句，可支持采用图形化界面来创建撤销处理，把数据回滚到事务提交前的状态。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tblHeader/>
                <w:jc w:val="center"/>
              </w:trPr>
              <w:tc>
                <w:tcPr>
                  <w:tcW w:w="537" w:type="dxa"/>
                  <w:vMerge w:val="continue"/>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bCs/>
                      <w:color w:val="auto"/>
                      <w:kern w:val="0"/>
                      <w:szCs w:val="21"/>
                      <w:highlight w:val="none"/>
                    </w:rPr>
                  </w:pPr>
                </w:p>
              </w:tc>
              <w:tc>
                <w:tcPr>
                  <w:tcW w:w="976"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云平台和虚拟化支持</w:t>
                  </w:r>
                </w:p>
              </w:tc>
              <w:tc>
                <w:tcPr>
                  <w:tcW w:w="5746" w:type="dxa"/>
                  <w:shd w:val="clear" w:color="auto" w:fill="auto"/>
                  <w:vAlign w:val="center"/>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提供产品兼容或生态集成认证，包括但不限于华为云Stack6.5、华为云Stack8.0、FusionCompute、FusionCloud、H3C CAS、阿里云、CNware、乾云、网安凌云、腾讯云TStack、EasyStack、StackCube、联通沃云（Wo Cloud）等。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blHeader/>
                <w:jc w:val="center"/>
              </w:trPr>
              <w:tc>
                <w:tcPr>
                  <w:tcW w:w="537" w:type="dxa"/>
                  <w:vMerge w:val="continue"/>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bCs/>
                      <w:color w:val="auto"/>
                      <w:kern w:val="0"/>
                      <w:szCs w:val="21"/>
                      <w:highlight w:val="none"/>
                    </w:rPr>
                  </w:pPr>
                </w:p>
              </w:tc>
              <w:tc>
                <w:tcPr>
                  <w:tcW w:w="976"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文件保护</w:t>
                  </w:r>
                </w:p>
              </w:tc>
              <w:tc>
                <w:tcPr>
                  <w:tcW w:w="5746" w:type="dxa"/>
                  <w:shd w:val="clear" w:color="auto" w:fill="auto"/>
                  <w:vAlign w:val="center"/>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支持文件、对象存储、Hadoop HDFS 的在线备份和互相恢复，支持对象存储和 Hadoop HDFS 的备份数据恢复到异构的 Linux 文件系统。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atLeast"/>
                <w:tblHeader/>
                <w:jc w:val="center"/>
              </w:trPr>
              <w:tc>
                <w:tcPr>
                  <w:tcW w:w="537" w:type="dxa"/>
                  <w:vMerge w:val="continue"/>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bCs/>
                      <w:color w:val="auto"/>
                      <w:kern w:val="0"/>
                      <w:szCs w:val="21"/>
                      <w:highlight w:val="none"/>
                    </w:rPr>
                  </w:pPr>
                </w:p>
              </w:tc>
              <w:tc>
                <w:tcPr>
                  <w:tcW w:w="976"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大数据平台保护</w:t>
                  </w:r>
                </w:p>
              </w:tc>
              <w:tc>
                <w:tcPr>
                  <w:tcW w:w="5746" w:type="dxa"/>
                  <w:shd w:val="clear" w:color="auto" w:fill="auto"/>
                  <w:vAlign w:val="center"/>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支持Hadoop 分布式文件系统（HDFS）备份数据，无需还原数据，直接通过挂载方式，实现数据的即时恢复。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tblHeader/>
                <w:jc w:val="center"/>
              </w:trPr>
              <w:tc>
                <w:tcPr>
                  <w:tcW w:w="537" w:type="dxa"/>
                  <w:vMerge w:val="continue"/>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bCs/>
                      <w:color w:val="auto"/>
                      <w:kern w:val="0"/>
                      <w:szCs w:val="21"/>
                      <w:highlight w:val="none"/>
                    </w:rPr>
                  </w:pPr>
                </w:p>
              </w:tc>
              <w:tc>
                <w:tcPr>
                  <w:tcW w:w="976"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容灾演练</w:t>
                  </w:r>
                </w:p>
              </w:tc>
              <w:tc>
                <w:tcPr>
                  <w:tcW w:w="5746" w:type="dxa"/>
                  <w:shd w:val="clear" w:color="auto" w:fill="auto"/>
                  <w:vAlign w:val="center"/>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支持对Oracle、SQL Server、MySQL、DB2、PostgreSQL、Informix、Sybase、达梦、Kingbase、Gbase、Domino等主流数据库的备份集进行定时容灾演练，以此检验备份集的可用性；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0" w:hRule="atLeast"/>
                <w:tblHeader/>
                <w:jc w:val="center"/>
              </w:trPr>
              <w:tc>
                <w:tcPr>
                  <w:tcW w:w="537" w:type="dxa"/>
                  <w:vMerge w:val="continue"/>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Cs/>
                      <w:color w:val="auto"/>
                      <w:kern w:val="0"/>
                      <w:szCs w:val="21"/>
                      <w:highlight w:val="none"/>
                    </w:rPr>
                  </w:pPr>
                </w:p>
              </w:tc>
              <w:tc>
                <w:tcPr>
                  <w:tcW w:w="976"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bCs/>
                      <w:color w:val="auto"/>
                      <w:kern w:val="0"/>
                      <w:szCs w:val="21"/>
                      <w:highlight w:val="none"/>
                    </w:rPr>
                    <w:t>远程复制</w:t>
                  </w:r>
                </w:p>
              </w:tc>
              <w:tc>
                <w:tcPr>
                  <w:tcW w:w="5746" w:type="dxa"/>
                  <w:shd w:val="clear" w:color="auto" w:fill="auto"/>
                  <w:vAlign w:val="center"/>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备份数据支持1对1，1对多，多对1复制的多种方式远程复制，通过异地存储的备份数据，实现在本机或异机上恢复数据，远程复制任务支持开启、暂停、停止、删除操作。</w:t>
                  </w:r>
                  <w:r>
                    <w:rPr>
                      <w:rFonts w:hint="eastAsia" w:ascii="宋体" w:hAnsi="宋体" w:eastAsia="宋体" w:cs="宋体"/>
                      <w:b/>
                      <w:bCs/>
                      <w:color w:val="auto"/>
                      <w:kern w:val="0"/>
                      <w:szCs w:val="21"/>
                      <w:highlight w:val="none"/>
                    </w:rPr>
                    <w:t>提供功能界面截图</w:t>
                  </w:r>
                  <w:r>
                    <w:rPr>
                      <w:rFonts w:hint="eastAsia" w:ascii="宋体" w:hAnsi="宋体" w:eastAsia="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tblHeader/>
                <w:jc w:val="center"/>
              </w:trPr>
              <w:tc>
                <w:tcPr>
                  <w:tcW w:w="537" w:type="dxa"/>
                  <w:vMerge w:val="continue"/>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Cs/>
                      <w:color w:val="auto"/>
                      <w:kern w:val="0"/>
                      <w:szCs w:val="21"/>
                      <w:highlight w:val="none"/>
                    </w:rPr>
                  </w:pPr>
                </w:p>
              </w:tc>
              <w:tc>
                <w:tcPr>
                  <w:tcW w:w="976"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介质支持</w:t>
                  </w:r>
                </w:p>
              </w:tc>
              <w:tc>
                <w:tcPr>
                  <w:tcW w:w="5746" w:type="dxa"/>
                  <w:shd w:val="clear" w:color="auto" w:fill="auto"/>
                  <w:vAlign w:val="center"/>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支持备份集数据复制到磁盘、光盘塔进行离线保存及数据恢复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6" w:hRule="atLeast"/>
                <w:tblHeader/>
                <w:jc w:val="center"/>
              </w:trPr>
              <w:tc>
                <w:tcPr>
                  <w:tcW w:w="1513" w:type="dxa"/>
                  <w:gridSpan w:val="2"/>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产品性能要求</w:t>
                  </w:r>
                </w:p>
              </w:tc>
              <w:tc>
                <w:tcPr>
                  <w:tcW w:w="5746" w:type="dxa"/>
                  <w:shd w:val="clear" w:color="auto" w:fill="auto"/>
                  <w:vAlign w:val="center"/>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1、备份系统在多作业同时备份时平均备份速率≥3GB/s</w:t>
                  </w:r>
                </w:p>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2、支持对Oracle的日志文件采用连续日志备份方式， Oracle数据库日志备份性能≥800MB/S。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5" w:hRule="atLeast"/>
                <w:tblHeader/>
                <w:jc w:val="center"/>
              </w:trPr>
              <w:tc>
                <w:tcPr>
                  <w:tcW w:w="1513" w:type="dxa"/>
                  <w:gridSpan w:val="2"/>
                  <w:shd w:val="clear" w:color="auto" w:fill="auto"/>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bCs/>
                      <w:color w:val="auto"/>
                      <w:kern w:val="0"/>
                      <w:szCs w:val="21"/>
                      <w:highlight w:val="none"/>
                    </w:rPr>
                    <w:t>产品安全运维</w:t>
                  </w:r>
                </w:p>
              </w:tc>
              <w:tc>
                <w:tcPr>
                  <w:tcW w:w="5746" w:type="dxa"/>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1、提供对生产系统数据资源的保护设置。标记资源为受保护对象后，不能对保护资源进行恢复操作。</w:t>
                  </w:r>
                </w:p>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2、支持备份数据加密，支持AES、国家密码算法SM4等加密算法。对于AES加密需要支持选择不同密钥长度，以便用户根据源端计算资源情况选择合适的数据加密处理。</w:t>
                  </w:r>
                </w:p>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3、支持针对系统的高危操作（如：恢复作业、清理备份集等）前要求输入四位或以上的随机数字验证码，经验证后才能执行操作，防止人为误操作危害生产数据。</w:t>
                  </w:r>
                </w:p>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4、支持数据库资源免密码登录模式，有效解决用户数据库或操作系统密码定期自动变更和无密码场景下备份作业的按期执行问题。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tblHeader/>
                <w:jc w:val="center"/>
              </w:trPr>
              <w:tc>
                <w:tcPr>
                  <w:tcW w:w="1513" w:type="dxa"/>
                  <w:gridSpan w:val="2"/>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其他要求</w:t>
                  </w:r>
                </w:p>
              </w:tc>
              <w:tc>
                <w:tcPr>
                  <w:tcW w:w="5746" w:type="dxa"/>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1、支持MySQL采用不间断日志备份方式，持续监控binlog文件的变化情况，实现对数据库变化数据达到秒级以内的备份保护。</w:t>
                  </w:r>
                </w:p>
              </w:tc>
            </w:tr>
          </w:tbl>
          <w:p>
            <w:pPr>
              <w:pStyle w:val="2"/>
              <w:keepLines w:val="0"/>
              <w:suppressLineNumbers w:val="0"/>
              <w:spacing w:before="0" w:beforeAutospacing="0" w:after="0" w:afterAutospacing="0"/>
              <w:ind w:left="0" w:right="0"/>
              <w:rPr>
                <w:rFonts w:hint="default" w:ascii="宋体" w:eastAsia="宋体" w:cs="宋体"/>
                <w:color w:val="auto"/>
                <w:sz w:val="21"/>
                <w:szCs w:val="21"/>
                <w:highlight w:val="none"/>
              </w:rPr>
            </w:pPr>
          </w:p>
          <w:p>
            <w:pPr>
              <w:pStyle w:val="2"/>
              <w:keepLines w:val="0"/>
              <w:suppressLineNumbers w:val="0"/>
              <w:spacing w:before="0" w:beforeAutospacing="0" w:after="0" w:afterAutospacing="0"/>
              <w:ind w:left="0" w:right="0"/>
              <w:rPr>
                <w:rFonts w:hint="default" w:ascii="宋体" w:eastAsia="宋体" w:cs="宋体"/>
                <w:color w:val="auto"/>
                <w:sz w:val="21"/>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1"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说明</w:t>
            </w:r>
          </w:p>
        </w:tc>
        <w:tc>
          <w:tcPr>
            <w:tcW w:w="7911" w:type="dxa"/>
            <w:gridSpan w:val="2"/>
          </w:tcPr>
          <w:p>
            <w:pPr>
              <w:keepNext w:val="0"/>
              <w:keepLines w:val="0"/>
              <w:suppressLineNumbers w:val="0"/>
              <w:spacing w:before="0" w:beforeAutospacing="0" w:after="0" w:afterAutospacing="0"/>
              <w:ind w:left="0" w:right="0"/>
              <w:jc w:val="left"/>
              <w:rPr>
                <w:rFonts w:hint="default"/>
                <w:color w:val="auto"/>
                <w:highlight w:val="none"/>
              </w:rPr>
            </w:pPr>
            <w:r>
              <w:rPr>
                <w:rFonts w:hint="default"/>
                <w:color w:val="auto"/>
                <w:highlight w:val="none"/>
              </w:rPr>
              <w:t>打“★”号条款为实质性条款，若有任何一条负偏离或不满足则导致投标无效。</w:t>
            </w:r>
            <w:r>
              <w:rPr>
                <w:rFonts w:hint="default"/>
                <w:color w:val="auto"/>
                <w:highlight w:val="none"/>
              </w:rPr>
              <w:br w:type="textWrapping"/>
            </w:r>
            <w:r>
              <w:rPr>
                <w:rFonts w:hint="default"/>
                <w:color w:val="auto"/>
                <w:highlight w:val="none"/>
              </w:rPr>
              <w:t>打“▲”号条款为重要技术参数，若有部分“▲”条款未响应或不满足，将导致其响应性评审加重扣分，但不作为无效投标条款。</w:t>
            </w:r>
          </w:p>
        </w:tc>
      </w:tr>
    </w:tbl>
    <w:p>
      <w:pPr>
        <w:rPr>
          <w:color w:val="auto"/>
          <w:highlight w:val="none"/>
        </w:rPr>
      </w:pPr>
    </w:p>
    <w:p>
      <w:pPr>
        <w:rPr>
          <w:color w:val="auto"/>
          <w:highlight w:val="none"/>
        </w:rPr>
      </w:pPr>
      <w:r>
        <w:rPr>
          <w:b/>
          <w:color w:val="auto"/>
          <w:highlight w:val="none"/>
        </w:rPr>
        <w:t>附表</w:t>
      </w:r>
      <w:r>
        <w:rPr>
          <w:rFonts w:hint="eastAsia"/>
          <w:b/>
          <w:color w:val="auto"/>
          <w:highlight w:val="none"/>
        </w:rPr>
        <w:t>四</w:t>
      </w:r>
      <w:r>
        <w:rPr>
          <w:b/>
          <w:color w:val="auto"/>
          <w:highlight w:val="none"/>
        </w:rPr>
        <w:t>：</w:t>
      </w:r>
      <w:r>
        <w:rPr>
          <w:rFonts w:hint="eastAsia"/>
          <w:b/>
          <w:color w:val="auto"/>
          <w:highlight w:val="none"/>
        </w:rPr>
        <w:t>网络交换机</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1"/>
        <w:gridCol w:w="426"/>
        <w:gridCol w:w="74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1"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参数性质</w:t>
            </w:r>
          </w:p>
        </w:tc>
        <w:tc>
          <w:tcPr>
            <w:tcW w:w="426"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序号</w:t>
            </w:r>
          </w:p>
        </w:tc>
        <w:tc>
          <w:tcPr>
            <w:tcW w:w="7455"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1" w:type="dxa"/>
          </w:tcPr>
          <w:p>
            <w:pPr>
              <w:keepNext w:val="0"/>
              <w:keepLines w:val="0"/>
              <w:suppressLineNumbers w:val="0"/>
              <w:spacing w:before="0" w:beforeAutospacing="0" w:after="0" w:afterAutospacing="0"/>
              <w:ind w:left="0" w:right="0"/>
              <w:rPr>
                <w:rFonts w:hint="default"/>
                <w:color w:val="auto"/>
                <w:highlight w:val="none"/>
              </w:rPr>
            </w:pPr>
          </w:p>
        </w:tc>
        <w:tc>
          <w:tcPr>
            <w:tcW w:w="426" w:type="dxa"/>
          </w:tcPr>
          <w:p>
            <w:pPr>
              <w:keepNext w:val="0"/>
              <w:keepLines w:val="0"/>
              <w:numPr>
                <w:ilvl w:val="0"/>
                <w:numId w:val="5"/>
              </w:numPr>
              <w:suppressLineNumbers w:val="0"/>
              <w:spacing w:before="0" w:beforeAutospacing="0" w:after="0" w:afterAutospacing="0"/>
              <w:ind w:right="0"/>
              <w:jc w:val="center"/>
              <w:rPr>
                <w:rFonts w:hint="default"/>
                <w:color w:val="auto"/>
                <w:highlight w:val="none"/>
              </w:rPr>
            </w:pPr>
          </w:p>
        </w:tc>
        <w:tc>
          <w:tcPr>
            <w:tcW w:w="7455" w:type="dxa"/>
          </w:tcPr>
          <w:p>
            <w:pPr>
              <w:keepNext w:val="0"/>
              <w:keepLines w:val="0"/>
              <w:suppressLineNumbers w:val="0"/>
              <w:spacing w:before="0" w:beforeAutospacing="0" w:after="0" w:afterAutospacing="0"/>
              <w:ind w:left="0" w:right="0"/>
              <w:rPr>
                <w:rFonts w:hint="default" w:ascii="宋体" w:hAnsi="宋体" w:eastAsia="宋体" w:cs="宋体"/>
                <w:b/>
                <w:color w:val="auto"/>
                <w:szCs w:val="21"/>
                <w:highlight w:val="none"/>
              </w:rPr>
            </w:pPr>
          </w:p>
          <w:tbl>
            <w:tblPr>
              <w:tblStyle w:val="7"/>
              <w:tblW w:w="6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4367"/>
              <w:gridCol w:w="661"/>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199" w:type="dxa"/>
                  <w:vAlign w:val="center"/>
                </w:tcPr>
                <w:p>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ascii="宋体" w:hAnsi="宋体" w:eastAsia="宋体" w:cs="宋体"/>
                      <w:b/>
                      <w:bCs/>
                      <w:color w:val="auto"/>
                      <w:kern w:val="0"/>
                      <w:szCs w:val="21"/>
                      <w:highlight w:val="none"/>
                    </w:rPr>
                    <w:t>设备名称</w:t>
                  </w:r>
                </w:p>
              </w:tc>
              <w:tc>
                <w:tcPr>
                  <w:tcW w:w="4367" w:type="dxa"/>
                  <w:vAlign w:val="center"/>
                </w:tcPr>
                <w:p>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ascii="宋体" w:hAnsi="宋体" w:eastAsia="宋体" w:cs="宋体"/>
                      <w:b/>
                      <w:bCs/>
                      <w:color w:val="auto"/>
                      <w:kern w:val="0"/>
                      <w:szCs w:val="21"/>
                      <w:highlight w:val="none"/>
                    </w:rPr>
                    <w:t>产品配置需求</w:t>
                  </w:r>
                </w:p>
              </w:tc>
              <w:tc>
                <w:tcPr>
                  <w:tcW w:w="661" w:type="dxa"/>
                  <w:vAlign w:val="center"/>
                </w:tcPr>
                <w:p>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ascii="宋体" w:hAnsi="宋体" w:eastAsia="宋体" w:cs="宋体"/>
                      <w:b/>
                      <w:bCs/>
                      <w:color w:val="auto"/>
                      <w:kern w:val="0"/>
                      <w:szCs w:val="21"/>
                      <w:highlight w:val="none"/>
                    </w:rPr>
                    <w:t>数量</w:t>
                  </w:r>
                </w:p>
              </w:tc>
              <w:tc>
                <w:tcPr>
                  <w:tcW w:w="751" w:type="dxa"/>
                  <w:vAlign w:val="center"/>
                </w:tcPr>
                <w:p>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ascii="宋体" w:hAnsi="宋体" w:eastAsia="宋体" w:cs="宋体"/>
                      <w:b/>
                      <w:bCs/>
                      <w:color w:val="auto"/>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atLeast"/>
                <w:jc w:val="center"/>
              </w:trPr>
              <w:tc>
                <w:tcPr>
                  <w:tcW w:w="1199"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lang w:eastAsia="zh-Hans"/>
                    </w:rPr>
                  </w:pPr>
                  <w:r>
                    <w:rPr>
                      <w:rFonts w:hint="eastAsia" w:ascii="宋体" w:hAnsi="宋体" w:eastAsia="宋体" w:cs="宋体"/>
                      <w:color w:val="auto"/>
                      <w:kern w:val="0"/>
                      <w:szCs w:val="21"/>
                      <w:highlight w:val="none"/>
                    </w:rPr>
                    <w:t>网络</w:t>
                  </w:r>
                  <w:r>
                    <w:rPr>
                      <w:rFonts w:hint="eastAsia" w:ascii="宋体" w:hAnsi="宋体" w:eastAsia="宋体" w:cs="宋体"/>
                      <w:color w:val="auto"/>
                      <w:kern w:val="0"/>
                      <w:szCs w:val="21"/>
                      <w:highlight w:val="none"/>
                      <w:lang w:eastAsia="zh-Hans"/>
                    </w:rPr>
                    <w:t>交换机</w:t>
                  </w:r>
                </w:p>
              </w:tc>
              <w:tc>
                <w:tcPr>
                  <w:tcW w:w="4367" w:type="dxa"/>
                  <w:vAlign w:val="center"/>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szCs w:val="21"/>
                      <w:highlight w:val="none"/>
                      <w:lang w:eastAsia="zh-Hans"/>
                    </w:rPr>
                  </w:pPr>
                  <w:r>
                    <w:rPr>
                      <w:rFonts w:hint="eastAsia" w:ascii="宋体" w:hAnsi="宋体" w:eastAsia="宋体" w:cs="宋体"/>
                      <w:color w:val="auto"/>
                      <w:kern w:val="0"/>
                      <w:szCs w:val="21"/>
                      <w:highlight w:val="none"/>
                    </w:rPr>
                    <w:t>≥48个SFP+口，≥4个QSFP28口，交换容量不少于2.56bps/25.Tbps，包转发率大于1080Mpp5，双模块化电源，支持静态聚合、动态聚合(每台含2个共4个100G光模块、1条</w:t>
                  </w:r>
                  <w:r>
                    <w:rPr>
                      <w:rFonts w:hint="eastAsia" w:ascii="宋体" w:hAnsi="宋体" w:eastAsia="宋体" w:cs="宋体"/>
                      <w:color w:val="auto"/>
                      <w:kern w:val="0"/>
                      <w:szCs w:val="21"/>
                      <w:highlight w:val="none"/>
                      <w:lang w:eastAsia="zh-Hans"/>
                    </w:rPr>
                    <w:t>堆叠</w:t>
                  </w:r>
                  <w:r>
                    <w:rPr>
                      <w:rFonts w:hint="eastAsia" w:ascii="宋体" w:hAnsi="宋体" w:eastAsia="宋体" w:cs="宋体"/>
                      <w:color w:val="auto"/>
                      <w:kern w:val="0"/>
                      <w:szCs w:val="21"/>
                      <w:highlight w:val="none"/>
                    </w:rPr>
                    <w:t>线、2个</w:t>
                  </w:r>
                  <w:r>
                    <w:rPr>
                      <w:rFonts w:hint="eastAsia" w:ascii="宋体" w:hAnsi="宋体" w:eastAsia="宋体" w:cs="宋体"/>
                      <w:color w:val="auto"/>
                      <w:kern w:val="0"/>
                      <w:szCs w:val="21"/>
                      <w:highlight w:val="none"/>
                      <w:lang w:eastAsia="zh-Hans"/>
                    </w:rPr>
                    <w:t>堆叠</w:t>
                  </w:r>
                  <w:r>
                    <w:rPr>
                      <w:rFonts w:hint="eastAsia" w:ascii="宋体" w:hAnsi="宋体" w:eastAsia="宋体" w:cs="宋体"/>
                      <w:color w:val="auto"/>
                      <w:kern w:val="0"/>
                      <w:szCs w:val="21"/>
                      <w:highlight w:val="none"/>
                    </w:rPr>
                    <w:t>模块，10米100G蓝色多模光纤线2条，10米10G多模光纤线10条)</w:t>
                  </w:r>
                </w:p>
              </w:tc>
              <w:tc>
                <w:tcPr>
                  <w:tcW w:w="661"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2</w:t>
                  </w:r>
                </w:p>
              </w:tc>
              <w:tc>
                <w:tcPr>
                  <w:tcW w:w="751"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lang w:eastAsia="zh-Hans"/>
                    </w:rPr>
                  </w:pPr>
                  <w:r>
                    <w:rPr>
                      <w:rFonts w:hint="eastAsia" w:ascii="宋体" w:hAnsi="宋体" w:eastAsia="宋体" w:cs="宋体"/>
                      <w:color w:val="auto"/>
                      <w:kern w:val="0"/>
                      <w:szCs w:val="21"/>
                      <w:highlight w:val="none"/>
                      <w:lang w:eastAsia="zh-Hans"/>
                    </w:rPr>
                    <w:t>台</w:t>
                  </w:r>
                </w:p>
              </w:tc>
            </w:tr>
          </w:tbl>
          <w:p>
            <w:pPr>
              <w:pStyle w:val="2"/>
              <w:keepLines w:val="0"/>
              <w:suppressLineNumbers w:val="0"/>
              <w:spacing w:before="0" w:beforeAutospacing="0" w:after="0" w:afterAutospacing="0"/>
              <w:ind w:left="0" w:right="0"/>
              <w:rPr>
                <w:rFonts w:hint="default" w:ascii="宋体" w:eastAsia="宋体" w:cs="宋体"/>
                <w:color w:val="auto"/>
                <w:sz w:val="21"/>
                <w:szCs w:val="21"/>
                <w:highlight w:val="none"/>
              </w:rPr>
            </w:pPr>
          </w:p>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1" w:type="dxa"/>
          </w:tcPr>
          <w:p>
            <w:pPr>
              <w:keepNext w:val="0"/>
              <w:keepLines w:val="0"/>
              <w:suppressLineNumbers w:val="0"/>
              <w:spacing w:before="0" w:beforeAutospacing="0" w:after="0" w:afterAutospacing="0"/>
              <w:ind w:left="0" w:right="0"/>
              <w:rPr>
                <w:rFonts w:hint="default"/>
                <w:color w:val="auto"/>
                <w:highlight w:val="none"/>
              </w:rPr>
            </w:pPr>
          </w:p>
        </w:tc>
        <w:tc>
          <w:tcPr>
            <w:tcW w:w="426" w:type="dxa"/>
          </w:tcPr>
          <w:p>
            <w:pPr>
              <w:keepNext w:val="0"/>
              <w:keepLines w:val="0"/>
              <w:numPr>
                <w:ilvl w:val="0"/>
                <w:numId w:val="5"/>
              </w:numPr>
              <w:suppressLineNumbers w:val="0"/>
              <w:spacing w:before="0" w:beforeAutospacing="0" w:after="0" w:afterAutospacing="0"/>
              <w:ind w:right="0"/>
              <w:jc w:val="center"/>
              <w:rPr>
                <w:rFonts w:hint="default"/>
                <w:color w:val="auto"/>
                <w:highlight w:val="none"/>
              </w:rPr>
            </w:pPr>
          </w:p>
        </w:tc>
        <w:tc>
          <w:tcPr>
            <w:tcW w:w="7455" w:type="dxa"/>
          </w:tcPr>
          <w:p>
            <w:pPr>
              <w:keepNext w:val="0"/>
              <w:keepLines w:val="0"/>
              <w:suppressLineNumbers w:val="0"/>
              <w:spacing w:before="0" w:beforeAutospacing="0" w:after="0" w:afterAutospacing="0"/>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技术要求：</w:t>
            </w:r>
          </w:p>
          <w:tbl>
            <w:tblPr>
              <w:tblStyle w:val="4"/>
              <w:tblW w:w="7239" w:type="dxa"/>
              <w:jc w:val="center"/>
              <w:tblLayout w:type="autofit"/>
              <w:tblCellMar>
                <w:top w:w="0" w:type="dxa"/>
                <w:left w:w="108" w:type="dxa"/>
                <w:bottom w:w="0" w:type="dxa"/>
                <w:right w:w="108" w:type="dxa"/>
              </w:tblCellMar>
            </w:tblPr>
            <w:tblGrid>
              <w:gridCol w:w="1045"/>
              <w:gridCol w:w="1887"/>
              <w:gridCol w:w="4307"/>
            </w:tblGrid>
            <w:tr>
              <w:tblPrEx>
                <w:tblCellMar>
                  <w:top w:w="0" w:type="dxa"/>
                  <w:left w:w="108" w:type="dxa"/>
                  <w:bottom w:w="0" w:type="dxa"/>
                  <w:right w:w="108" w:type="dxa"/>
                </w:tblCellMar>
              </w:tblPrEx>
              <w:trPr>
                <w:trHeight w:val="441" w:hRule="atLeast"/>
                <w:tblHeader/>
                <w:jc w:val="center"/>
              </w:trPr>
              <w:tc>
                <w:tcPr>
                  <w:tcW w:w="104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指标项</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功能技术指标</w:t>
                  </w:r>
                </w:p>
              </w:tc>
              <w:tc>
                <w:tcPr>
                  <w:tcW w:w="430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技术参数要求</w:t>
                  </w:r>
                </w:p>
              </w:tc>
            </w:tr>
            <w:tr>
              <w:tblPrEx>
                <w:tblCellMar>
                  <w:top w:w="0" w:type="dxa"/>
                  <w:left w:w="108" w:type="dxa"/>
                  <w:bottom w:w="0" w:type="dxa"/>
                  <w:right w:w="108" w:type="dxa"/>
                </w:tblCellMar>
              </w:tblPrEx>
              <w:trPr>
                <w:trHeight w:val="871" w:hRule="atLeast"/>
                <w:tblHeader/>
                <w:jc w:val="center"/>
              </w:trPr>
              <w:tc>
                <w:tcPr>
                  <w:tcW w:w="104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▲基本要求</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交换容量</w:t>
                  </w:r>
                </w:p>
              </w:tc>
              <w:tc>
                <w:tcPr>
                  <w:tcW w:w="430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≥2.56Tbps（若官网存在多个值，以官网最小值为准），</w:t>
                  </w:r>
                  <w:r>
                    <w:rPr>
                      <w:rFonts w:hint="eastAsia" w:ascii="宋体" w:hAnsi="宋体" w:eastAsia="宋体" w:cs="宋体"/>
                      <w:b/>
                      <w:bCs/>
                      <w:color w:val="auto"/>
                      <w:kern w:val="0"/>
                      <w:szCs w:val="21"/>
                      <w:highlight w:val="none"/>
                    </w:rPr>
                    <w:t>提供官网截图或产品彩页</w:t>
                  </w: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71" w:hRule="atLeast"/>
                <w:tblHeader/>
                <w:jc w:val="center"/>
              </w:trPr>
              <w:tc>
                <w:tcPr>
                  <w:tcW w:w="1045" w:type="dxa"/>
                  <w:vMerge w:val="continue"/>
                  <w:tcBorders>
                    <w:left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szCs w:val="21"/>
                      <w:highlight w:val="none"/>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转发能力</w:t>
                  </w:r>
                </w:p>
              </w:tc>
              <w:tc>
                <w:tcPr>
                  <w:tcW w:w="430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≥1620Mpps（若官网存在多个值，以官网最小值为准），</w:t>
                  </w:r>
                  <w:r>
                    <w:rPr>
                      <w:rFonts w:hint="eastAsia" w:ascii="宋体" w:hAnsi="宋体" w:eastAsia="宋体" w:cs="宋体"/>
                      <w:b/>
                      <w:bCs/>
                      <w:color w:val="auto"/>
                      <w:kern w:val="0"/>
                      <w:szCs w:val="21"/>
                      <w:highlight w:val="none"/>
                    </w:rPr>
                    <w:t>提供官网截图或产品彩页</w:t>
                  </w: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71" w:hRule="atLeast"/>
                <w:tblHeader/>
                <w:jc w:val="center"/>
              </w:trPr>
              <w:tc>
                <w:tcPr>
                  <w:tcW w:w="1045" w:type="dxa"/>
                  <w:vMerge w:val="continue"/>
                  <w:tcBorders>
                    <w:left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szCs w:val="21"/>
                      <w:highlight w:val="none"/>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接口类型</w:t>
                  </w:r>
                </w:p>
              </w:tc>
              <w:tc>
                <w:tcPr>
                  <w:tcW w:w="430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10G/1G BASE-X SFP+端口≥48个, QSFP28端口≥4个，扩展插槽≥2，配置双电源双风扇，</w:t>
                  </w:r>
                  <w:r>
                    <w:rPr>
                      <w:rFonts w:hint="eastAsia" w:ascii="宋体" w:hAnsi="宋体" w:eastAsia="宋体" w:cs="宋体"/>
                      <w:b/>
                      <w:bCs/>
                      <w:color w:val="auto"/>
                      <w:kern w:val="0"/>
                      <w:szCs w:val="21"/>
                      <w:highlight w:val="none"/>
                    </w:rPr>
                    <w:t>提供官网截图或产品彩页</w:t>
                  </w: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71" w:hRule="atLeast"/>
                <w:tblHeader/>
                <w:jc w:val="center"/>
              </w:trPr>
              <w:tc>
                <w:tcPr>
                  <w:tcW w:w="1045" w:type="dxa"/>
                  <w:vMerge w:val="continue"/>
                  <w:tcBorders>
                    <w:left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电源风扇</w:t>
                  </w:r>
                </w:p>
              </w:tc>
              <w:tc>
                <w:tcPr>
                  <w:tcW w:w="430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模块化双电源；模块化双风扇，前/后通风，风道可调，</w:t>
                  </w:r>
                  <w:r>
                    <w:rPr>
                      <w:rFonts w:hint="eastAsia" w:ascii="宋体" w:hAnsi="宋体" w:eastAsia="宋体" w:cs="宋体"/>
                      <w:b/>
                      <w:bCs/>
                      <w:color w:val="auto"/>
                      <w:kern w:val="0"/>
                      <w:szCs w:val="21"/>
                      <w:highlight w:val="none"/>
                    </w:rPr>
                    <w:t>提供官网截图或产品彩页</w:t>
                  </w: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441" w:hRule="atLeast"/>
                <w:tblHeader/>
                <w:jc w:val="center"/>
              </w:trPr>
              <w:tc>
                <w:tcPr>
                  <w:tcW w:w="1045" w:type="dxa"/>
                  <w:vMerge w:val="continue"/>
                  <w:tcBorders>
                    <w:left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p>
              </w:tc>
              <w:tc>
                <w:tcPr>
                  <w:tcW w:w="1887"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安全插卡</w:t>
                  </w:r>
                </w:p>
              </w:tc>
              <w:tc>
                <w:tcPr>
                  <w:tcW w:w="4307" w:type="dxa"/>
                  <w:tcBorders>
                    <w:top w:val="single" w:color="auto" w:sz="4" w:space="0"/>
                    <w:left w:val="nil"/>
                    <w:bottom w:val="single" w:color="auto" w:sz="4" w:space="0"/>
                    <w:right w:val="single" w:color="auto" w:sz="4" w:space="0"/>
                  </w:tcBorders>
                  <w:shd w:val="clear" w:color="auto" w:fill="auto"/>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支持防火墙、流量分析等安全插卡，</w:t>
                  </w:r>
                  <w:r>
                    <w:rPr>
                      <w:rFonts w:hint="eastAsia" w:ascii="宋体" w:hAnsi="宋体" w:eastAsia="宋体" w:cs="宋体"/>
                      <w:b/>
                      <w:bCs/>
                      <w:color w:val="auto"/>
                      <w:kern w:val="0"/>
                      <w:szCs w:val="21"/>
                      <w:highlight w:val="none"/>
                    </w:rPr>
                    <w:t>提供官网截图或产品彩页</w:t>
                  </w: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71" w:hRule="atLeast"/>
                <w:tblHeader/>
                <w:jc w:val="center"/>
              </w:trPr>
              <w:tc>
                <w:tcPr>
                  <w:tcW w:w="1045" w:type="dxa"/>
                  <w:vMerge w:val="continue"/>
                  <w:tcBorders>
                    <w:left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堆叠</w:t>
                  </w:r>
                </w:p>
              </w:tc>
              <w:tc>
                <w:tcPr>
                  <w:tcW w:w="430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最大堆叠台数≥9台，提供堆叠的相关配件，包括但不限于线路，</w:t>
                  </w:r>
                  <w:r>
                    <w:rPr>
                      <w:rFonts w:hint="eastAsia" w:ascii="宋体" w:hAnsi="宋体" w:eastAsia="宋体" w:cs="宋体"/>
                      <w:b/>
                      <w:bCs/>
                      <w:color w:val="auto"/>
                      <w:kern w:val="0"/>
                      <w:szCs w:val="21"/>
                      <w:highlight w:val="none"/>
                    </w:rPr>
                    <w:t>提供官网截图或产品彩页</w:t>
                  </w: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71" w:hRule="atLeast"/>
                <w:tblHeader/>
                <w:jc w:val="center"/>
              </w:trPr>
              <w:tc>
                <w:tcPr>
                  <w:tcW w:w="1045" w:type="dxa"/>
                  <w:vMerge w:val="continue"/>
                  <w:tcBorders>
                    <w:left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内置智能管理中心</w:t>
                  </w:r>
                </w:p>
              </w:tc>
              <w:tc>
                <w:tcPr>
                  <w:tcW w:w="430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内置图形化操作的方式，可作为管理设备对整网进行统一运维及管理，</w:t>
                  </w:r>
                  <w:r>
                    <w:rPr>
                      <w:rFonts w:hint="eastAsia" w:ascii="宋体" w:hAnsi="宋体" w:eastAsia="宋体" w:cs="宋体"/>
                      <w:b/>
                      <w:bCs/>
                      <w:color w:val="auto"/>
                      <w:kern w:val="0"/>
                      <w:szCs w:val="21"/>
                      <w:highlight w:val="none"/>
                    </w:rPr>
                    <w:t>提供官网截图或产品彩页</w:t>
                  </w: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871" w:hRule="atLeast"/>
                <w:tblHeader/>
                <w:jc w:val="center"/>
              </w:trPr>
              <w:tc>
                <w:tcPr>
                  <w:tcW w:w="1045" w:type="dxa"/>
                  <w:vMerge w:val="continue"/>
                  <w:tcBorders>
                    <w:left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VxLAN</w:t>
                  </w:r>
                </w:p>
              </w:tc>
              <w:tc>
                <w:tcPr>
                  <w:tcW w:w="430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支持VxLAN二层网关、VxLAN三层网关、EVPN，</w:t>
                  </w:r>
                  <w:r>
                    <w:rPr>
                      <w:rFonts w:hint="eastAsia" w:ascii="宋体" w:hAnsi="宋体" w:eastAsia="宋体" w:cs="宋体"/>
                      <w:b/>
                      <w:bCs/>
                      <w:color w:val="auto"/>
                      <w:kern w:val="0"/>
                      <w:szCs w:val="21"/>
                      <w:highlight w:val="none"/>
                    </w:rPr>
                    <w:t>提供官网截图或产品彩页</w:t>
                  </w: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1301" w:hRule="atLeast"/>
                <w:tblHeader/>
                <w:jc w:val="center"/>
              </w:trPr>
              <w:tc>
                <w:tcPr>
                  <w:tcW w:w="1045" w:type="dxa"/>
                  <w:vMerge w:val="continue"/>
                  <w:tcBorders>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SDN/OPENFLOW</w:t>
                  </w:r>
                </w:p>
              </w:tc>
              <w:tc>
                <w:tcPr>
                  <w:tcW w:w="430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支持OPENFLOW 1.3标准；支持普通模式和Openflow 模式切换，</w:t>
                  </w:r>
                  <w:r>
                    <w:rPr>
                      <w:rFonts w:hint="eastAsia" w:ascii="宋体" w:hAnsi="宋体" w:eastAsia="宋体" w:cs="宋体"/>
                      <w:b/>
                      <w:bCs/>
                      <w:color w:val="auto"/>
                      <w:kern w:val="0"/>
                      <w:szCs w:val="21"/>
                      <w:highlight w:val="none"/>
                    </w:rPr>
                    <w:t>需提供官网网站命令手册截图或产品彩页，佐证支持多控制器（EQUAL模式、主备模式）</w:t>
                  </w:r>
                  <w:r>
                    <w:rPr>
                      <w:rFonts w:hint="eastAsia" w:ascii="宋体" w:hAnsi="宋体" w:eastAsia="宋体" w:cs="宋体"/>
                      <w:color w:val="auto"/>
                      <w:kern w:val="0"/>
                      <w:szCs w:val="21"/>
                      <w:highlight w:val="none"/>
                    </w:rPr>
                    <w:t>。</w:t>
                  </w:r>
                </w:p>
              </w:tc>
            </w:tr>
            <w:tr>
              <w:tblPrEx>
                <w:tblCellMar>
                  <w:top w:w="0" w:type="dxa"/>
                  <w:left w:w="108" w:type="dxa"/>
                  <w:bottom w:w="0" w:type="dxa"/>
                  <w:right w:w="108" w:type="dxa"/>
                </w:tblCellMar>
              </w:tblPrEx>
              <w:trPr>
                <w:trHeight w:val="1732" w:hRule="atLeast"/>
                <w:tblHeader/>
                <w:jc w:val="center"/>
              </w:trPr>
              <w:tc>
                <w:tcPr>
                  <w:tcW w:w="1045"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其他要求</w:t>
                  </w: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路由协议</w:t>
                  </w:r>
                </w:p>
              </w:tc>
              <w:tc>
                <w:tcPr>
                  <w:tcW w:w="430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1、支持IPv4静态路由、RIP V1/V2、OSPF、BGP、ISIS</w:t>
                  </w:r>
                </w:p>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2、支持IPv6静态路由、RIPng、OSPFv3、BGP4+</w:t>
                  </w:r>
                </w:p>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3、支持IPv4和IPv6环境下的策略路由</w:t>
                  </w:r>
                </w:p>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4、支持IPv6手动隧道、6to4隧道和ISATAP隧道</w:t>
                  </w:r>
                </w:p>
              </w:tc>
            </w:tr>
            <w:tr>
              <w:tblPrEx>
                <w:tblCellMar>
                  <w:top w:w="0" w:type="dxa"/>
                  <w:left w:w="108" w:type="dxa"/>
                  <w:bottom w:w="0" w:type="dxa"/>
                  <w:right w:w="108" w:type="dxa"/>
                </w:tblCellMar>
              </w:tblPrEx>
              <w:trPr>
                <w:trHeight w:val="1301" w:hRule="atLeast"/>
                <w:tblHeader/>
                <w:jc w:val="center"/>
              </w:trPr>
              <w:tc>
                <w:tcPr>
                  <w:tcW w:w="1045" w:type="dxa"/>
                  <w:vMerge w:val="continue"/>
                  <w:tcBorders>
                    <w:left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可靠性</w:t>
                  </w:r>
                </w:p>
              </w:tc>
              <w:tc>
                <w:tcPr>
                  <w:tcW w:w="430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1、支持VRRPv2/v3（虚拟路由冗余协议)；</w:t>
                  </w:r>
                </w:p>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2、支持RRPP（快速环网保护协议），环网故障恢复时间不超过200ms；</w:t>
                  </w:r>
                </w:p>
              </w:tc>
            </w:tr>
            <w:tr>
              <w:tblPrEx>
                <w:tblCellMar>
                  <w:top w:w="0" w:type="dxa"/>
                  <w:left w:w="108" w:type="dxa"/>
                  <w:bottom w:w="0" w:type="dxa"/>
                  <w:right w:w="108" w:type="dxa"/>
                </w:tblCellMar>
              </w:tblPrEx>
              <w:trPr>
                <w:trHeight w:val="441" w:hRule="atLeast"/>
                <w:tblHeader/>
                <w:jc w:val="center"/>
              </w:trPr>
              <w:tc>
                <w:tcPr>
                  <w:tcW w:w="1045" w:type="dxa"/>
                  <w:vMerge w:val="continue"/>
                  <w:tcBorders>
                    <w:left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性能指标</w:t>
                  </w:r>
                </w:p>
              </w:tc>
              <w:tc>
                <w:tcPr>
                  <w:tcW w:w="430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Mac地址表≥128K；ARP≥64K；端口缓存≥10M</w:t>
                  </w:r>
                </w:p>
              </w:tc>
            </w:tr>
            <w:tr>
              <w:tblPrEx>
                <w:tblCellMar>
                  <w:top w:w="0" w:type="dxa"/>
                  <w:left w:w="108" w:type="dxa"/>
                  <w:bottom w:w="0" w:type="dxa"/>
                  <w:right w:w="108" w:type="dxa"/>
                </w:tblCellMar>
              </w:tblPrEx>
              <w:trPr>
                <w:trHeight w:val="871" w:hRule="atLeast"/>
                <w:tblHeader/>
                <w:jc w:val="center"/>
              </w:trPr>
              <w:tc>
                <w:tcPr>
                  <w:tcW w:w="1045" w:type="dxa"/>
                  <w:vMerge w:val="continue"/>
                  <w:tcBorders>
                    <w:left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VLAN特性</w:t>
                  </w:r>
                </w:p>
              </w:tc>
              <w:tc>
                <w:tcPr>
                  <w:tcW w:w="430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支持基于端口的VLAN，支持基于协议的VLAN；支持基于MAC的VLAN；</w:t>
                  </w:r>
                </w:p>
              </w:tc>
            </w:tr>
            <w:tr>
              <w:tblPrEx>
                <w:tblCellMar>
                  <w:top w:w="0" w:type="dxa"/>
                  <w:left w:w="108" w:type="dxa"/>
                  <w:bottom w:w="0" w:type="dxa"/>
                  <w:right w:w="108" w:type="dxa"/>
                </w:tblCellMar>
              </w:tblPrEx>
              <w:trPr>
                <w:trHeight w:val="871" w:hRule="atLeast"/>
                <w:tblHeader/>
                <w:jc w:val="center"/>
              </w:trPr>
              <w:tc>
                <w:tcPr>
                  <w:tcW w:w="1045" w:type="dxa"/>
                  <w:vMerge w:val="continue"/>
                  <w:tcBorders>
                    <w:left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光模块</w:t>
                  </w:r>
                </w:p>
              </w:tc>
              <w:tc>
                <w:tcPr>
                  <w:tcW w:w="430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每台交换机配20个10G多模光模块（包含所需的光纤跳线），4个100G多模光模块（包含所需的光纤跳线）</w:t>
                  </w:r>
                </w:p>
              </w:tc>
            </w:tr>
            <w:tr>
              <w:tblPrEx>
                <w:tblCellMar>
                  <w:top w:w="0" w:type="dxa"/>
                  <w:left w:w="108" w:type="dxa"/>
                  <w:bottom w:w="0" w:type="dxa"/>
                  <w:right w:w="108" w:type="dxa"/>
                </w:tblCellMar>
              </w:tblPrEx>
              <w:trPr>
                <w:trHeight w:val="441" w:hRule="atLeast"/>
                <w:tblHeader/>
                <w:jc w:val="center"/>
              </w:trPr>
              <w:tc>
                <w:tcPr>
                  <w:tcW w:w="1045" w:type="dxa"/>
                  <w:vMerge w:val="continue"/>
                  <w:tcBorders>
                    <w:left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链路聚合</w:t>
                  </w:r>
                </w:p>
              </w:tc>
              <w:tc>
                <w:tcPr>
                  <w:tcW w:w="430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支持最多128个聚合组（堆叠）；支持LACP</w:t>
                  </w:r>
                </w:p>
              </w:tc>
            </w:tr>
            <w:tr>
              <w:tblPrEx>
                <w:tblCellMar>
                  <w:top w:w="0" w:type="dxa"/>
                  <w:left w:w="108" w:type="dxa"/>
                  <w:bottom w:w="0" w:type="dxa"/>
                  <w:right w:w="108" w:type="dxa"/>
                </w:tblCellMar>
              </w:tblPrEx>
              <w:trPr>
                <w:trHeight w:val="871" w:hRule="atLeast"/>
                <w:tblHeader/>
                <w:jc w:val="center"/>
              </w:trPr>
              <w:tc>
                <w:tcPr>
                  <w:tcW w:w="1045" w:type="dxa"/>
                  <w:vMerge w:val="continue"/>
                  <w:tcBorders>
                    <w:left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镜像功能</w:t>
                  </w:r>
                </w:p>
              </w:tc>
              <w:tc>
                <w:tcPr>
                  <w:tcW w:w="430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支持本地端口镜像和远程端口镜像RSPAN；支持流镜像；同时支持N：M的端口镜像（M大于1）</w:t>
                  </w:r>
                </w:p>
              </w:tc>
            </w:tr>
            <w:tr>
              <w:tblPrEx>
                <w:tblCellMar>
                  <w:top w:w="0" w:type="dxa"/>
                  <w:left w:w="108" w:type="dxa"/>
                  <w:bottom w:w="0" w:type="dxa"/>
                  <w:right w:w="108" w:type="dxa"/>
                </w:tblCellMar>
              </w:tblPrEx>
              <w:trPr>
                <w:trHeight w:val="1301" w:hRule="atLeast"/>
                <w:tblHeader/>
                <w:jc w:val="center"/>
              </w:trPr>
              <w:tc>
                <w:tcPr>
                  <w:tcW w:w="1045" w:type="dxa"/>
                  <w:vMerge w:val="continue"/>
                  <w:tcBorders>
                    <w:left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管理和维护</w:t>
                  </w:r>
                </w:p>
              </w:tc>
              <w:tc>
                <w:tcPr>
                  <w:tcW w:w="430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1、支持SNMP V1/V2/V3、RMON、SSHV2</w:t>
                  </w:r>
                </w:p>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2、支持OAM(802.1AG， 802.3AH)以太网运行、维护和管理标准</w:t>
                  </w:r>
                </w:p>
              </w:tc>
            </w:tr>
            <w:tr>
              <w:tblPrEx>
                <w:tblCellMar>
                  <w:top w:w="0" w:type="dxa"/>
                  <w:left w:w="108" w:type="dxa"/>
                  <w:bottom w:w="0" w:type="dxa"/>
                  <w:right w:w="108" w:type="dxa"/>
                </w:tblCellMar>
              </w:tblPrEx>
              <w:trPr>
                <w:trHeight w:val="1301" w:hRule="atLeast"/>
                <w:tblHeader/>
                <w:jc w:val="center"/>
              </w:trPr>
              <w:tc>
                <w:tcPr>
                  <w:tcW w:w="1045" w:type="dxa"/>
                  <w:vMerge w:val="continue"/>
                  <w:tcBorders>
                    <w:left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绿色节能</w:t>
                  </w:r>
                </w:p>
              </w:tc>
              <w:tc>
                <w:tcPr>
                  <w:tcW w:w="430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符合IEEE 802.3az（EEE）节能标准；端口定时down功能（Schedule job）；支持端口休眠，关闭没有应用的端口，节省能源</w:t>
                  </w:r>
                </w:p>
              </w:tc>
            </w:tr>
            <w:tr>
              <w:tblPrEx>
                <w:tblCellMar>
                  <w:top w:w="0" w:type="dxa"/>
                  <w:left w:w="108" w:type="dxa"/>
                  <w:bottom w:w="0" w:type="dxa"/>
                  <w:right w:w="108" w:type="dxa"/>
                </w:tblCellMar>
              </w:tblPrEx>
              <w:trPr>
                <w:trHeight w:val="450" w:hRule="atLeast"/>
                <w:tblHeader/>
                <w:jc w:val="center"/>
              </w:trPr>
              <w:tc>
                <w:tcPr>
                  <w:tcW w:w="1045" w:type="dxa"/>
                  <w:vMerge w:val="continue"/>
                  <w:tcBorders>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rPr>
                  </w:pPr>
                </w:p>
              </w:tc>
              <w:tc>
                <w:tcPr>
                  <w:tcW w:w="18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lang w:eastAsia="zh-Hans"/>
                    </w:rPr>
                  </w:pPr>
                  <w:r>
                    <w:rPr>
                      <w:rFonts w:hint="eastAsia" w:ascii="宋体" w:hAnsi="宋体" w:eastAsia="宋体" w:cs="宋体"/>
                      <w:color w:val="auto"/>
                      <w:kern w:val="0"/>
                      <w:szCs w:val="21"/>
                      <w:highlight w:val="none"/>
                      <w:lang w:eastAsia="zh-Hans"/>
                    </w:rPr>
                    <w:t>保修服务</w:t>
                  </w:r>
                </w:p>
              </w:tc>
              <w:tc>
                <w:tcPr>
                  <w:tcW w:w="430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rPr>
                    <w:t>★提供</w:t>
                  </w:r>
                  <w:r>
                    <w:rPr>
                      <w:rFonts w:hint="eastAsia" w:ascii="宋体" w:hAnsi="宋体" w:eastAsia="宋体" w:cs="宋体"/>
                      <w:color w:val="auto"/>
                      <w:szCs w:val="21"/>
                      <w:highlight w:val="none"/>
                      <w:lang w:eastAsia="zh-Hans"/>
                    </w:rPr>
                    <w:t>3</w:t>
                  </w:r>
                  <w:r>
                    <w:rPr>
                      <w:rFonts w:hint="eastAsia" w:ascii="宋体" w:hAnsi="宋体" w:eastAsia="宋体" w:cs="宋体"/>
                      <w:color w:val="auto"/>
                      <w:szCs w:val="21"/>
                      <w:highlight w:val="none"/>
                    </w:rPr>
                    <w:t>年7×24</w:t>
                  </w:r>
                  <w:r>
                    <w:rPr>
                      <w:rFonts w:hint="eastAsia" w:ascii="宋体" w:hAnsi="宋体" w:eastAsia="宋体" w:cs="宋体"/>
                      <w:color w:val="auto"/>
                      <w:szCs w:val="21"/>
                      <w:highlight w:val="none"/>
                      <w:lang w:val="en-US" w:eastAsia="zh-CN"/>
                    </w:rPr>
                    <w:t>小时</w:t>
                  </w:r>
                  <w:r>
                    <w:rPr>
                      <w:rFonts w:hint="eastAsia" w:ascii="宋体" w:hAnsi="宋体" w:eastAsia="宋体" w:cs="宋体"/>
                      <w:color w:val="auto"/>
                      <w:szCs w:val="21"/>
                      <w:highlight w:val="none"/>
                      <w:lang w:eastAsia="zh-Hans"/>
                    </w:rPr>
                    <w:t>原厂</w:t>
                  </w:r>
                  <w:r>
                    <w:rPr>
                      <w:rFonts w:hint="eastAsia" w:ascii="宋体" w:hAnsi="宋体" w:eastAsia="宋体" w:cs="宋体"/>
                      <w:color w:val="auto"/>
                      <w:szCs w:val="21"/>
                      <w:highlight w:val="none"/>
                    </w:rPr>
                    <w:t>保修服务</w:t>
                  </w:r>
                  <w:r>
                    <w:rPr>
                      <w:rFonts w:hint="eastAsia" w:ascii="宋体" w:hAnsi="宋体" w:eastAsia="宋体" w:cs="宋体"/>
                      <w:color w:val="auto"/>
                      <w:kern w:val="0"/>
                      <w:szCs w:val="21"/>
                      <w:highlight w:val="none"/>
                      <w:lang w:eastAsia="zh-CN"/>
                    </w:rPr>
                    <w:t>。</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lang w:val="en-US" w:eastAsia="zh-CN"/>
                    </w:rPr>
                    <w:t>需提供承诺函，内容包括但不限于以下内容:</w:t>
                  </w:r>
                  <w:r>
                    <w:rPr>
                      <w:rFonts w:hint="eastAsia" w:ascii="宋体" w:hAnsi="宋体" w:eastAsia="宋体" w:cs="宋体"/>
                      <w:b/>
                      <w:bCs/>
                      <w:color w:val="auto"/>
                      <w:szCs w:val="21"/>
                      <w:highlight w:val="none"/>
                    </w:rPr>
                    <w:t>承诺</w:t>
                  </w:r>
                  <w:r>
                    <w:rPr>
                      <w:rFonts w:hint="eastAsia" w:ascii="宋体" w:hAnsi="宋体" w:eastAsia="宋体" w:cs="宋体"/>
                      <w:b/>
                      <w:bCs/>
                      <w:color w:val="auto"/>
                      <w:szCs w:val="21"/>
                      <w:highlight w:val="none"/>
                      <w:lang w:val="en-US" w:eastAsia="zh-CN"/>
                    </w:rPr>
                    <w:t>合同签订前</w:t>
                  </w:r>
                  <w:r>
                    <w:rPr>
                      <w:rFonts w:hint="eastAsia" w:ascii="宋体" w:hAnsi="宋体" w:eastAsia="宋体" w:cs="宋体"/>
                      <w:b/>
                      <w:bCs/>
                      <w:color w:val="auto"/>
                      <w:szCs w:val="21"/>
                      <w:highlight w:val="none"/>
                    </w:rPr>
                    <w:t>提供设备制造厂商</w:t>
                  </w:r>
                  <w:r>
                    <w:rPr>
                      <w:rFonts w:hint="eastAsia" w:ascii="宋体" w:hAnsi="宋体" w:eastAsia="宋体" w:cs="宋体"/>
                      <w:b/>
                      <w:bCs/>
                      <w:color w:val="auto"/>
                      <w:szCs w:val="21"/>
                      <w:highlight w:val="none"/>
                      <w:lang w:val="en-US" w:eastAsia="zh-CN"/>
                    </w:rPr>
                    <w:t>或其合法代理商出具</w:t>
                  </w:r>
                  <w:r>
                    <w:rPr>
                      <w:rFonts w:hint="eastAsia" w:ascii="宋体" w:hAnsi="宋体" w:eastAsia="宋体" w:cs="宋体"/>
                      <w:b/>
                      <w:bCs/>
                      <w:color w:val="auto"/>
                      <w:szCs w:val="21"/>
                      <w:highlight w:val="none"/>
                    </w:rPr>
                    <w:t>的合法有效的售后服务承诺函。</w:t>
                  </w:r>
                  <w:r>
                    <w:rPr>
                      <w:rFonts w:hint="eastAsia" w:ascii="宋体" w:hAnsi="宋体" w:eastAsia="宋体" w:cs="宋体"/>
                      <w:b/>
                      <w:bCs/>
                      <w:color w:val="auto"/>
                      <w:szCs w:val="21"/>
                      <w:highlight w:val="none"/>
                      <w:lang w:eastAsia="zh-CN"/>
                    </w:rPr>
                    <w:t>）</w:t>
                  </w:r>
                </w:p>
              </w:tc>
            </w:tr>
          </w:tbl>
          <w:p>
            <w:pPr>
              <w:pStyle w:val="2"/>
              <w:keepLines w:val="0"/>
              <w:suppressLineNumbers w:val="0"/>
              <w:spacing w:before="0" w:beforeAutospacing="0" w:after="0" w:afterAutospacing="0"/>
              <w:ind w:left="0" w:right="0"/>
              <w:rPr>
                <w:rFonts w:hint="default" w:ascii="宋体" w:eastAsia="宋体" w:cs="宋体"/>
                <w:color w:val="auto"/>
                <w:sz w:val="21"/>
                <w:szCs w:val="21"/>
                <w:highlight w:val="none"/>
              </w:rPr>
            </w:pPr>
          </w:p>
          <w:p>
            <w:pPr>
              <w:pStyle w:val="2"/>
              <w:keepLines w:val="0"/>
              <w:suppressLineNumbers w:val="0"/>
              <w:spacing w:before="0" w:beforeAutospacing="0" w:after="0" w:afterAutospacing="0"/>
              <w:ind w:left="0" w:right="0"/>
              <w:rPr>
                <w:rFonts w:hint="default" w:ascii="宋体" w:eastAsia="宋体" w:cs="宋体"/>
                <w:color w:val="auto"/>
                <w:sz w:val="21"/>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41"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说明</w:t>
            </w:r>
          </w:p>
        </w:tc>
        <w:tc>
          <w:tcPr>
            <w:tcW w:w="7881" w:type="dxa"/>
            <w:gridSpan w:val="2"/>
          </w:tcPr>
          <w:p>
            <w:pPr>
              <w:keepNext w:val="0"/>
              <w:keepLines w:val="0"/>
              <w:suppressLineNumbers w:val="0"/>
              <w:spacing w:before="0" w:beforeAutospacing="0" w:after="0" w:afterAutospacing="0"/>
              <w:ind w:left="0" w:right="0"/>
              <w:jc w:val="left"/>
              <w:rPr>
                <w:rFonts w:hint="default"/>
                <w:color w:val="auto"/>
                <w:highlight w:val="none"/>
              </w:rPr>
            </w:pPr>
            <w:r>
              <w:rPr>
                <w:rFonts w:hint="default"/>
                <w:color w:val="auto"/>
                <w:highlight w:val="none"/>
              </w:rPr>
              <w:t>打“★”号条款为实质性条款，若有任何一条负偏离或不满足则导致投标无效。</w:t>
            </w:r>
            <w:r>
              <w:rPr>
                <w:rFonts w:hint="default"/>
                <w:color w:val="auto"/>
                <w:highlight w:val="none"/>
              </w:rPr>
              <w:br w:type="textWrapping"/>
            </w:r>
            <w:r>
              <w:rPr>
                <w:rFonts w:hint="default"/>
                <w:color w:val="auto"/>
                <w:highlight w:val="none"/>
              </w:rPr>
              <w:t>打“▲”号条款为重要技术参数，若有部分“▲”条款未响应或不满足，将导致其响应性评审加重扣分，但不作为无效投标条款。</w:t>
            </w:r>
          </w:p>
        </w:tc>
      </w:tr>
    </w:tbl>
    <w:p>
      <w:pPr>
        <w:rPr>
          <w:color w:val="auto"/>
          <w:highlight w:val="none"/>
        </w:rPr>
      </w:pPr>
    </w:p>
    <w:p>
      <w:pPr>
        <w:rPr>
          <w:color w:val="auto"/>
          <w:highlight w:val="none"/>
        </w:rPr>
      </w:pPr>
      <w:r>
        <w:rPr>
          <w:b/>
          <w:color w:val="auto"/>
          <w:highlight w:val="none"/>
        </w:rPr>
        <w:t>附表</w:t>
      </w:r>
      <w:r>
        <w:rPr>
          <w:rFonts w:hint="eastAsia"/>
          <w:b/>
          <w:color w:val="auto"/>
          <w:highlight w:val="none"/>
        </w:rPr>
        <w:t>五</w:t>
      </w:r>
      <w:r>
        <w:rPr>
          <w:b/>
          <w:color w:val="auto"/>
          <w:highlight w:val="none"/>
        </w:rPr>
        <w:t>：</w:t>
      </w:r>
      <w:r>
        <w:rPr>
          <w:rFonts w:hint="eastAsia"/>
          <w:b/>
          <w:color w:val="auto"/>
          <w:highlight w:val="none"/>
        </w:rPr>
        <w:t>配件扩容</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
        <w:gridCol w:w="426"/>
        <w:gridCol w:w="724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52"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参数性质</w:t>
            </w:r>
          </w:p>
        </w:tc>
        <w:tc>
          <w:tcPr>
            <w:tcW w:w="426"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序号</w:t>
            </w:r>
          </w:p>
        </w:tc>
        <w:tc>
          <w:tcPr>
            <w:tcW w:w="7244"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52" w:type="dxa"/>
          </w:tcPr>
          <w:p>
            <w:pPr>
              <w:keepNext w:val="0"/>
              <w:keepLines w:val="0"/>
              <w:suppressLineNumbers w:val="0"/>
              <w:spacing w:before="0" w:beforeAutospacing="0" w:after="0" w:afterAutospacing="0"/>
              <w:ind w:left="0" w:right="0"/>
              <w:rPr>
                <w:rFonts w:hint="default"/>
                <w:color w:val="auto"/>
                <w:highlight w:val="none"/>
              </w:rPr>
            </w:pPr>
          </w:p>
        </w:tc>
        <w:tc>
          <w:tcPr>
            <w:tcW w:w="426" w:type="dxa"/>
          </w:tcPr>
          <w:p>
            <w:pPr>
              <w:keepNext w:val="0"/>
              <w:keepLines w:val="0"/>
              <w:numPr>
                <w:ilvl w:val="0"/>
                <w:numId w:val="6"/>
              </w:numPr>
              <w:suppressLineNumbers w:val="0"/>
              <w:spacing w:before="0" w:beforeAutospacing="0" w:after="0" w:afterAutospacing="0"/>
              <w:ind w:right="0"/>
              <w:jc w:val="center"/>
              <w:rPr>
                <w:rFonts w:hint="default"/>
                <w:color w:val="auto"/>
                <w:highlight w:val="none"/>
              </w:rPr>
            </w:pPr>
          </w:p>
        </w:tc>
        <w:tc>
          <w:tcPr>
            <w:tcW w:w="7244" w:type="dxa"/>
          </w:tcPr>
          <w:p>
            <w:pPr>
              <w:keepNext w:val="0"/>
              <w:keepLines w:val="0"/>
              <w:suppressLineNumbers w:val="0"/>
              <w:spacing w:before="0" w:beforeAutospacing="0" w:after="0" w:afterAutospacing="0"/>
              <w:ind w:left="0" w:right="0"/>
              <w:rPr>
                <w:rFonts w:hint="default" w:ascii="宋体" w:hAnsi="宋体" w:eastAsia="宋体" w:cs="宋体"/>
                <w:b/>
                <w:color w:val="auto"/>
                <w:szCs w:val="21"/>
                <w:highlight w:val="none"/>
              </w:rPr>
            </w:pPr>
          </w:p>
          <w:tbl>
            <w:tblPr>
              <w:tblStyle w:val="7"/>
              <w:tblW w:w="7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4392"/>
              <w:gridCol w:w="664"/>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06" w:type="dxa"/>
                  <w:vAlign w:val="center"/>
                </w:tcPr>
                <w:p>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ascii="宋体" w:hAnsi="宋体" w:eastAsia="宋体" w:cs="宋体"/>
                      <w:b/>
                      <w:bCs/>
                      <w:color w:val="auto"/>
                      <w:kern w:val="0"/>
                      <w:szCs w:val="21"/>
                      <w:highlight w:val="none"/>
                    </w:rPr>
                    <w:t>设备名称</w:t>
                  </w:r>
                </w:p>
              </w:tc>
              <w:tc>
                <w:tcPr>
                  <w:tcW w:w="4392" w:type="dxa"/>
                  <w:vAlign w:val="center"/>
                </w:tcPr>
                <w:p>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ascii="宋体" w:hAnsi="宋体" w:eastAsia="宋体" w:cs="宋体"/>
                      <w:b/>
                      <w:bCs/>
                      <w:color w:val="auto"/>
                      <w:kern w:val="0"/>
                      <w:szCs w:val="21"/>
                      <w:highlight w:val="none"/>
                    </w:rPr>
                    <w:t>产品配置需求</w:t>
                  </w:r>
                </w:p>
              </w:tc>
              <w:tc>
                <w:tcPr>
                  <w:tcW w:w="664" w:type="dxa"/>
                  <w:vAlign w:val="center"/>
                </w:tcPr>
                <w:p>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ascii="宋体" w:hAnsi="宋体" w:eastAsia="宋体" w:cs="宋体"/>
                      <w:b/>
                      <w:bCs/>
                      <w:color w:val="auto"/>
                      <w:kern w:val="0"/>
                      <w:szCs w:val="21"/>
                      <w:highlight w:val="none"/>
                    </w:rPr>
                    <w:t>数量</w:t>
                  </w:r>
                </w:p>
              </w:tc>
              <w:tc>
                <w:tcPr>
                  <w:tcW w:w="756" w:type="dxa"/>
                  <w:vAlign w:val="center"/>
                </w:tcPr>
                <w:p>
                  <w:pPr>
                    <w:keepNext w:val="0"/>
                    <w:keepLines w:val="0"/>
                    <w:widowControl/>
                    <w:suppressLineNumbers w:val="0"/>
                    <w:spacing w:before="0" w:beforeAutospacing="0" w:after="0" w:afterAutospacing="0" w:line="440" w:lineRule="exact"/>
                    <w:ind w:left="0" w:right="0"/>
                    <w:jc w:val="center"/>
                    <w:rPr>
                      <w:rFonts w:hint="default"/>
                      <w:color w:val="auto"/>
                      <w:highlight w:val="none"/>
                    </w:rPr>
                  </w:pPr>
                  <w:r>
                    <w:rPr>
                      <w:rFonts w:hint="eastAsia" w:ascii="宋体" w:hAnsi="宋体" w:eastAsia="宋体" w:cs="宋体"/>
                      <w:b/>
                      <w:bCs/>
                      <w:color w:val="auto"/>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jc w:val="center"/>
              </w:trPr>
              <w:tc>
                <w:tcPr>
                  <w:tcW w:w="1206"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lang w:eastAsia="zh-Hans"/>
                    </w:rPr>
                  </w:pPr>
                  <w:r>
                    <w:rPr>
                      <w:rFonts w:hint="eastAsia" w:ascii="宋体" w:hAnsi="宋体" w:eastAsia="宋体" w:cs="宋体"/>
                      <w:color w:val="auto"/>
                      <w:kern w:val="0"/>
                      <w:szCs w:val="21"/>
                      <w:highlight w:val="none"/>
                      <w:lang w:eastAsia="zh-Hans"/>
                    </w:rPr>
                    <w:t>配件扩容</w:t>
                  </w:r>
                </w:p>
              </w:tc>
              <w:tc>
                <w:tcPr>
                  <w:tcW w:w="4392" w:type="dxa"/>
                  <w:vAlign w:val="center"/>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szCs w:val="21"/>
                      <w:highlight w:val="none"/>
                      <w:lang w:eastAsia="zh-Hans"/>
                    </w:rPr>
                  </w:pPr>
                  <w:r>
                    <w:rPr>
                      <w:rFonts w:hint="eastAsia" w:ascii="宋体" w:hAnsi="宋体" w:eastAsia="宋体" w:cs="宋体"/>
                      <w:color w:val="auto"/>
                      <w:kern w:val="0"/>
                      <w:szCs w:val="21"/>
                      <w:highlight w:val="none"/>
                      <w:lang w:eastAsia="zh-Hans"/>
                    </w:rPr>
                    <w:t>2台2498-B24交换机每台扩容激活8个8Gbps端口，并且每台配备8个8Gbps SFP模块</w:t>
                  </w:r>
                </w:p>
              </w:tc>
              <w:tc>
                <w:tcPr>
                  <w:tcW w:w="664"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rPr>
                    <w:t>1</w:t>
                  </w:r>
                </w:p>
              </w:tc>
              <w:tc>
                <w:tcPr>
                  <w:tcW w:w="756"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lang w:eastAsia="zh-Hans"/>
                    </w:rPr>
                  </w:pPr>
                  <w:r>
                    <w:rPr>
                      <w:rFonts w:hint="eastAsia" w:ascii="宋体" w:hAnsi="宋体" w:eastAsia="宋体" w:cs="宋体"/>
                      <w:color w:val="auto"/>
                      <w:kern w:val="0"/>
                      <w:szCs w:val="21"/>
                      <w:highlight w:val="none"/>
                      <w:lang w:eastAsia="zh-Hans"/>
                    </w:rPr>
                    <w:t>套</w:t>
                  </w:r>
                </w:p>
              </w:tc>
            </w:tr>
          </w:tbl>
          <w:p>
            <w:pPr>
              <w:pStyle w:val="2"/>
              <w:keepLines w:val="0"/>
              <w:suppressLineNumbers w:val="0"/>
              <w:spacing w:before="0" w:beforeAutospacing="0" w:after="0" w:afterAutospacing="0"/>
              <w:ind w:left="0" w:right="0"/>
              <w:rPr>
                <w:rFonts w:hint="default" w:ascii="宋体" w:eastAsia="宋体" w:cs="宋体"/>
                <w:color w:val="auto"/>
                <w:sz w:val="21"/>
                <w:szCs w:val="21"/>
                <w:highlight w:val="none"/>
              </w:rPr>
            </w:pPr>
          </w:p>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说明</w:t>
            </w:r>
          </w:p>
        </w:tc>
        <w:tc>
          <w:tcPr>
            <w:tcW w:w="7670" w:type="dxa"/>
            <w:gridSpan w:val="2"/>
          </w:tcPr>
          <w:p>
            <w:pPr>
              <w:keepNext w:val="0"/>
              <w:keepLines w:val="0"/>
              <w:suppressLineNumbers w:val="0"/>
              <w:spacing w:before="0" w:beforeAutospacing="0" w:after="0" w:afterAutospacing="0"/>
              <w:ind w:left="0" w:right="0"/>
              <w:jc w:val="left"/>
              <w:rPr>
                <w:rFonts w:hint="default"/>
                <w:color w:val="auto"/>
                <w:highlight w:val="none"/>
              </w:rPr>
            </w:pPr>
            <w:r>
              <w:rPr>
                <w:rFonts w:hint="default"/>
                <w:color w:val="auto"/>
                <w:highlight w:val="none"/>
              </w:rPr>
              <w:t>打“★”号条款为实质性条款，若有任何一条负偏离或不满足则导致投标无效。</w:t>
            </w:r>
            <w:r>
              <w:rPr>
                <w:rFonts w:hint="default"/>
                <w:color w:val="auto"/>
                <w:highlight w:val="none"/>
              </w:rPr>
              <w:br w:type="textWrapping"/>
            </w:r>
            <w:r>
              <w:rPr>
                <w:rFonts w:hint="default"/>
                <w:color w:val="auto"/>
                <w:highlight w:val="none"/>
              </w:rPr>
              <w:t>打“▲”号条款为重要技术参数，若有部分“▲”条款未响应或不满足，将导致其响应性评审加重扣分，但不作为无效投标条款。</w:t>
            </w:r>
          </w:p>
        </w:tc>
      </w:tr>
    </w:tbl>
    <w:p>
      <w:pPr>
        <w:rPr>
          <w:color w:val="auto"/>
          <w:highlight w:val="none"/>
        </w:rPr>
      </w:pPr>
    </w:p>
    <w:p>
      <w:pPr>
        <w:rPr>
          <w:color w:val="auto"/>
          <w:highlight w:val="none"/>
        </w:rPr>
      </w:pPr>
      <w:r>
        <w:rPr>
          <w:b/>
          <w:color w:val="auto"/>
          <w:highlight w:val="none"/>
        </w:rPr>
        <w:t>附表</w:t>
      </w:r>
      <w:r>
        <w:rPr>
          <w:rFonts w:hint="eastAsia"/>
          <w:b/>
          <w:color w:val="auto"/>
          <w:highlight w:val="none"/>
        </w:rPr>
        <w:t>六</w:t>
      </w:r>
      <w:r>
        <w:rPr>
          <w:b/>
          <w:color w:val="auto"/>
          <w:highlight w:val="none"/>
        </w:rPr>
        <w:t>：</w:t>
      </w:r>
      <w:r>
        <w:rPr>
          <w:rFonts w:hint="eastAsia"/>
          <w:b/>
          <w:color w:val="auto"/>
          <w:highlight w:val="none"/>
        </w:rPr>
        <w:t>数据库智能运维平台</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2"/>
        <w:gridCol w:w="426"/>
        <w:gridCol w:w="729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2"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参数性质</w:t>
            </w:r>
          </w:p>
        </w:tc>
        <w:tc>
          <w:tcPr>
            <w:tcW w:w="426"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序号</w:t>
            </w:r>
          </w:p>
        </w:tc>
        <w:tc>
          <w:tcPr>
            <w:tcW w:w="7294"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2" w:type="dxa"/>
          </w:tcPr>
          <w:p>
            <w:pPr>
              <w:keepNext w:val="0"/>
              <w:keepLines w:val="0"/>
              <w:suppressLineNumbers w:val="0"/>
              <w:spacing w:before="0" w:beforeAutospacing="0" w:after="0" w:afterAutospacing="0"/>
              <w:ind w:left="0" w:right="0"/>
              <w:rPr>
                <w:rFonts w:hint="default"/>
                <w:color w:val="auto"/>
                <w:highlight w:val="none"/>
              </w:rPr>
            </w:pPr>
          </w:p>
        </w:tc>
        <w:tc>
          <w:tcPr>
            <w:tcW w:w="426" w:type="dxa"/>
          </w:tcPr>
          <w:p>
            <w:pPr>
              <w:keepNext w:val="0"/>
              <w:keepLines w:val="0"/>
              <w:numPr>
                <w:ilvl w:val="0"/>
                <w:numId w:val="7"/>
              </w:numPr>
              <w:suppressLineNumbers w:val="0"/>
              <w:spacing w:before="0" w:beforeAutospacing="0" w:after="0" w:afterAutospacing="0"/>
              <w:ind w:right="0"/>
              <w:jc w:val="center"/>
              <w:rPr>
                <w:rFonts w:hint="default"/>
                <w:color w:val="auto"/>
                <w:highlight w:val="none"/>
              </w:rPr>
            </w:pPr>
          </w:p>
        </w:tc>
        <w:tc>
          <w:tcPr>
            <w:tcW w:w="7294" w:type="dxa"/>
          </w:tcPr>
          <w:p>
            <w:pPr>
              <w:keepNext w:val="0"/>
              <w:keepLines w:val="0"/>
              <w:suppressLineNumbers w:val="0"/>
              <w:spacing w:before="0" w:beforeAutospacing="0" w:after="0" w:afterAutospacing="0"/>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技术要求：</w:t>
            </w:r>
          </w:p>
          <w:p>
            <w:pPr>
              <w:keepNext w:val="0"/>
              <w:keepLines w:val="0"/>
              <w:suppressLineNumbers w:val="0"/>
              <w:spacing w:before="0" w:beforeAutospacing="0" w:after="0" w:afterAutospacing="0"/>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1.1软件功能及参数清单</w:t>
            </w:r>
          </w:p>
          <w:p>
            <w:pPr>
              <w:keepNext w:val="0"/>
              <w:keepLines w:val="0"/>
              <w:suppressLineNumbers w:val="0"/>
              <w:spacing w:before="0" w:beforeAutospacing="0" w:after="0" w:afterAutospacing="0"/>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1.1.1软件功能配置清单</w:t>
            </w:r>
          </w:p>
          <w:tbl>
            <w:tblPr>
              <w:tblStyle w:val="4"/>
              <w:tblW w:w="4944" w:type="pct"/>
              <w:jc w:val="center"/>
              <w:tblLayout w:type="autofit"/>
              <w:tblCellMar>
                <w:top w:w="0" w:type="dxa"/>
                <w:left w:w="108" w:type="dxa"/>
                <w:bottom w:w="0" w:type="dxa"/>
                <w:right w:w="108" w:type="dxa"/>
              </w:tblCellMar>
            </w:tblPr>
            <w:tblGrid>
              <w:gridCol w:w="883"/>
              <w:gridCol w:w="1241"/>
              <w:gridCol w:w="671"/>
              <w:gridCol w:w="1090"/>
              <w:gridCol w:w="3114"/>
            </w:tblGrid>
            <w:tr>
              <w:tblPrEx>
                <w:tblCellMar>
                  <w:top w:w="0" w:type="dxa"/>
                  <w:left w:w="108" w:type="dxa"/>
                  <w:bottom w:w="0" w:type="dxa"/>
                  <w:right w:w="108" w:type="dxa"/>
                </w:tblCellMar>
              </w:tblPrEx>
              <w:trPr>
                <w:trHeight w:val="635" w:hRule="atLeast"/>
                <w:jc w:val="center"/>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功能名称</w:t>
                  </w: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222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rPr>
                  </w:pPr>
                </w:p>
              </w:tc>
            </w:tr>
            <w:tr>
              <w:tblPrEx>
                <w:tblCellMar>
                  <w:top w:w="0" w:type="dxa"/>
                  <w:left w:w="108" w:type="dxa"/>
                  <w:bottom w:w="0" w:type="dxa"/>
                  <w:right w:w="108" w:type="dxa"/>
                </w:tblCellMar>
              </w:tblPrEx>
              <w:trPr>
                <w:trHeight w:val="3262" w:hRule="atLeast"/>
                <w:jc w:val="center"/>
              </w:trPr>
              <w:tc>
                <w:tcPr>
                  <w:tcW w:w="63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8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数据库智能运维平台</w:t>
                  </w:r>
                </w:p>
              </w:tc>
              <w:tc>
                <w:tcPr>
                  <w:tcW w:w="47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套</w:t>
                  </w:r>
                </w:p>
              </w:tc>
              <w:tc>
                <w:tcPr>
                  <w:tcW w:w="2223" w:type="pc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对当前商业数据库、开源数据库和未来信创数据库的智能纳管，实现数据库集中化、标准化、服务化、可视化和智能化的全生命周期管理，实现从传统数据库运维理念到数据库即服务的理念的转变。</w:t>
                  </w:r>
                </w:p>
              </w:tc>
            </w:tr>
          </w:tbl>
          <w:p>
            <w:pPr>
              <w:keepNext w:val="0"/>
              <w:keepLines w:val="0"/>
              <w:suppressLineNumbers w:val="0"/>
              <w:spacing w:before="0" w:beforeAutospacing="0" w:after="0" w:afterAutospacing="0"/>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1.1.2软件功能详细要求</w:t>
            </w:r>
          </w:p>
          <w:tbl>
            <w:tblPr>
              <w:tblStyle w:val="4"/>
              <w:tblW w:w="6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964"/>
              <w:gridCol w:w="4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3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模块</w:t>
                  </w: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子模块</w:t>
                  </w:r>
                </w:p>
              </w:tc>
              <w:tc>
                <w:tcPr>
                  <w:tcW w:w="4741" w:type="dxa"/>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功能点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1234" w:type="dxa"/>
                  <w:vMerge w:val="restart"/>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首页</w:t>
                  </w: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资源统计</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1、支持在首页显示平台纳管的资源数目的统计，包括主机和每一类数据库单独展示。</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2、支持在首页显示平台纳管的数据库的关键属性的展示，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包括连接异常数量、未开启监控的数量以及无灾备保护的数量。</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3、支持在首页分类型显示纳管的数据库的告警统计，</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包括严重、主要、次要、正常四类的告警数量，并支持下钻到详细告警列表。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监控告警</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支持在首页显示最近的严重/主要/次要告警，支持告警确认功能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34" w:type="dxa"/>
                  <w:vMerge w:val="restart"/>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纳管</w:t>
                  </w: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主机纳管</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1、支持 Linux\AIX\HP-UX\WIndows 操作系统。</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2、支持按IP地址范围批量纳管。</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3、支持自定义Agent安装路径。</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4、支持平台下推部署Agent和手工部署Agent并注册到平台两种形式。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数据库纳管</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1、支持Oracle、MySQL、SQL Server、达梦、PostgreSQL数据库的纳管。2、支持 Oracle数据库单机\Standalone\RAC 纳管，支持ADG自动识别，支持多租户数据库。</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3、支持 MySQL数据库单机\主从集群\双主集群\MGR集群关系的自动识别。</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4、支持从网页上下发自动创建纳管用户和管理员账户。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标签管理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支持对纳管资源定义应用系统、等保级别、关联存储等标签。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34" w:type="dxa"/>
                  <w:vMerge w:val="restart"/>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批量作业</w:t>
                  </w: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脚本批量作业</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1、支持 Shell\Python\Bat\PowerShell脚本在多台主机上批量执行作业。</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lang w:bidi="ar"/>
                    </w:rPr>
                  </w:pPr>
                  <w:r>
                    <w:rPr>
                      <w:rFonts w:hint="eastAsia" w:ascii="宋体" w:hAnsi="宋体" w:eastAsia="宋体" w:cs="宋体"/>
                      <w:color w:val="auto"/>
                      <w:szCs w:val="21"/>
                      <w:highlight w:val="none"/>
                      <w:lang w:bidi="ar"/>
                    </w:rPr>
                    <w:t>2、支持立即、定时、重复性执行脚本。提供系统功能截图。</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3、支持导出Excel报告、支持审批。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SQL批量执行</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1、支持已纳管数据库SQL脚本在多台数据库上批量执行。支持限制返回行数。</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2、默认屏蔽 DML、DDL语句。</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3、查询结果支持单个库内分页展示，支持导出Excel表格。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34" w:type="dxa"/>
                  <w:vMerge w:val="restart"/>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监控中心</w:t>
                  </w: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监控项定义</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1、支持灵活的采集间隔，参考Crontab格式。</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2、支持单值、列表解析；支持分行分列、Json等多种解析规则。</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3、支持自定义解析规则(Java)，支持正则表达式。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告警定义</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1、支持自定义告警输出内容。</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2、支持多类采集告警，同时匹配多个列的组合条件(与或)告警。</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3、支持数字大小匹配和关键字模糊匹配。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监控模板</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1、支持按照主机类型，配置主机监控模板，下发Shell\Python\Bat\PowerShell类型脚本。</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2、支持按照数据库类型，配置数据库模板，下发SQL\Shell\Python\Bat\PowerShell类型脚本。</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3、支持自定义配置监控模板，可选按照数据库类型、版本、角色、是否多租户自动匹配模板。</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4、主备切换后，能自动匹配新模板。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告警展示</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1、支持数据库的当前告警和历史告警展示。支持导出告警明细至Excel表格。</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2、支持主机的当前告警和历史告警展示。支持导出告警明细至Excel表格。</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3、支持告警收敛，不同监控相同提示相同告警内容可以合并展示。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告警维护</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1、告警确认，大屏不再显示该告警。</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2、数据库维护，在维护的时间段内，大屏不再显示该数据库相关告警。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告警通知</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 Email / 短信 / 企业微信 告警通知，支持对接Zabbix。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数据库自愈</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1、可设置处置阈值，触发后支持自动解决该问题。</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2、可选择对部分数据库执行策略。</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3、可设置触发后自动执行或手动执行。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34" w:type="dxa"/>
                  <w:vMerge w:val="restart"/>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健康检查</w:t>
                  </w: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检查项定义</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1、支持对主机和数据库，下发SQL\Shell\Python\Bat\PowerShell类型脚本。</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2、支持单值、列表解析；支持分行分列、Json等多种解析规则。</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3、支持自定义解析规则(Java)，支持正则表达式。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告警定义</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1、支持多类采集告警，同时匹配多个列的组合条件(与或)告警。</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2、支持数字大小匹配和关键字模糊匹配。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告警模板</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支持自定义组合巡检模板项目，支持自定义巡检报告章节。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巡检执行</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1、各类型数据库内置日巡检和深度巡检模板。</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2、支持单套/多套同类型数据库，执行立即/定时/周期性巡检。</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3、支持巡检完成后发送报告至指定Email邮箱。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巡检报告</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1、支持导出Word、PDF、HTML格式巡检报告。支持章节细分。</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2、支持统计触发不同告警级别问题项，支持只展示特定告级别的告警项。3、支持汇总报告，查看企业内所有数据库的触发告警，支持配置巡检项与上次巡检结果进行对比展示。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34" w:type="dxa"/>
                  <w:vMerge w:val="restart"/>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自助建库</w:t>
                  </w: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安装模板</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▲1、支持用户二次定制开发，添加自定义脚本和流程，动态生成前端页面。</w:t>
                  </w:r>
                  <w:r>
                    <w:rPr>
                      <w:rFonts w:hint="eastAsia" w:ascii="宋体" w:hAnsi="宋体" w:eastAsia="宋体" w:cs="宋体"/>
                      <w:b/>
                      <w:bCs/>
                      <w:color w:val="auto"/>
                      <w:kern w:val="0"/>
                      <w:szCs w:val="21"/>
                      <w:highlight w:val="none"/>
                      <w:lang w:bidi="ar"/>
                    </w:rPr>
                    <w:t>提供功能界面截图。</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2、支持用户自定义流程中添加人工操作断点。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参数模板</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允许用户新增和删除安装的参数模板。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执行并发</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支持在多个节点并发执行相同任务，支持并行执行多批次安装任务。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API</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支持API对接流程审批、云平台。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34" w:type="dxa"/>
                  <w:vMerge w:val="restart"/>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SQL评审</w:t>
                  </w: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SQL上线</w:t>
                  </w:r>
                </w:p>
              </w:tc>
              <w:tc>
                <w:tcPr>
                  <w:tcW w:w="4741" w:type="dxa"/>
                  <w:vAlign w:val="center"/>
                </w:tcPr>
                <w:p>
                  <w:pPr>
                    <w:keepNext w:val="0"/>
                    <w:keepLines w:val="0"/>
                    <w:widowControl/>
                    <w:suppressLineNumbers w:val="0"/>
                    <w:spacing w:before="0" w:beforeAutospacing="0" w:after="0" w:afterAutospacing="0" w:line="440" w:lineRule="exact"/>
                    <w:ind w:left="0" w:right="0"/>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1、支持对已纳管数据库类型，提交上限SQL的评审。</w:t>
                  </w:r>
                </w:p>
                <w:p>
                  <w:pPr>
                    <w:keepNext w:val="0"/>
                    <w:keepLines w:val="0"/>
                    <w:suppressLineNumbers w:val="0"/>
                    <w:spacing w:before="0" w:beforeAutospacing="0" w:after="0" w:afterAutospacing="0" w:line="440" w:lineRule="exact"/>
                    <w:ind w:left="0" w:right="0"/>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2、可定义可执行时间范围。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SQL分析</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1、支持对SQL文件或者MyBatis3 Mapper XML File文件进行分析。</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2、支持美化SQL语句</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3、支持生成执行计划，并且提出优化建议。</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4、支持导出JSON/SQL/CSV/TXT/XML/OpenXML等格式。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34" w:type="dxa"/>
                  <w:vMerge w:val="restart"/>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知识库</w:t>
                  </w: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知识库配置</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支持用户将文档/报告上传到平台中保存，支持多层次目录分级，支持对各个文档指定关联的数据库。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知识库查询</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支持按照数据库、目录级别、文件名模糊搜索文档。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34" w:type="dxa"/>
                  <w:vMerge w:val="restart"/>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平台管理</w:t>
                  </w: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平台权限管理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1、支持用户配置，新建、修改、删除用户，支持设置用户使用期限。</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2、支持角色配置，通过角色控制平台用户可以访问的页面和可查看的按钮。</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3、支持用户组配置，限制平台用户可以访问的主机和数据库。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数据库权限管控</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1、各类型数据库，明确区分操作数据库的查询用户权限和变更用户权限。</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2、平台允许不存储变更账户密码，遇到变更场景时提供账号输入窗口</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3、高风险操作执行前，支持二次确认。</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4、变更操作执行前，支持生成预览SQL语句。</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5、变更操作，强制记录SQL审计信息。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主机权限管控</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支持用户自定义主机层面常用操作系统命令，支持设定带入参数。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脚本管理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1、支持保存 Shell\SQL\Python\Bat\PowerShell脚本</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2、支持脚本加密、危险命令识别、场景分类。</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3、支持脚本的多用户/多版本管理。</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4、支持脚本修改、运行时的审批管理</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5、脚本执行支持立即、定时、重复执行，可选择运行执行时间窗口。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安全管控</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平台支持HTTPS。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报表管理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支持用户自定义报表，查询平台MySQL数据库中收集到信息，并且导出Excel表格。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资产变动管理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1、支持实例的自动发现。</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2、支持数据库查看Database的增删操作，用户的增删和修改密码操作。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平台自监控</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查看平台自己常用组件的工作状态，主机性能曲线。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API</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1、支持标准 ResetFul API接口</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2、可对具体接口开放特定调用IP</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3、提供token验证来保证安全</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4、支持与ITSM等外部系统的接口集成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34" w:type="dxa"/>
                  <w:vMerge w:val="restart"/>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主机</w:t>
                  </w: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性能曲线</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支持展示主机相关性能、空间消耗等指标，采用图形展示，支持定制化调整样式。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信息查看</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支持展示主机常用的硬件配置、LVM、网络、路由、</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Limit、Cronab、进程列表等配置。支持正/反项过滤，支持限制行数。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维护命令</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支持维护命令查看和保存，允许用户自定义常用的操作系统命令，支持设定输入传入参数。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容量展示</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1、存储开销统计：从文件系统使用率，统计存储当前开销和历史开销。</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2、全局消耗排名，包含CPU/内存/SWAP换页/磁盘TPS/磁盘吞吐量/文件系统使用率/文件系统容量。</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3、历史容量曲线，包含CPU/内存/SWAP换页/磁盘TPS和吞吐量/文件系统使用率和容量。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1" w:hRule="atLeast"/>
                <w:jc w:val="center"/>
              </w:trPr>
              <w:tc>
                <w:tcPr>
                  <w:tcW w:w="1234" w:type="dxa"/>
                  <w:vMerge w:val="restart"/>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Oracle</w:t>
                  </w: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自动化安装</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1、支持11.2/12.1/12.2/18/19五个版本在Linux平台上安装。</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2、支持单机/Standalone/RAC自动化安装。</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3、支持2个以上节点的RAC自动化安装。</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4、支持自定义GI和DB目录PSU/OJVM-PSU补丁。</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▲5、支持自定义GI和DB目录One-off小补丁。</w:t>
                  </w:r>
                  <w:r>
                    <w:rPr>
                      <w:rFonts w:hint="eastAsia" w:ascii="宋体" w:hAnsi="宋体" w:eastAsia="宋体" w:cs="宋体"/>
                      <w:b/>
                      <w:bCs/>
                      <w:color w:val="auto"/>
                      <w:kern w:val="0"/>
                      <w:szCs w:val="21"/>
                      <w:highlight w:val="none"/>
                      <w:lang w:bidi="ar"/>
                    </w:rPr>
                    <w:t>提供功能界面截图</w:t>
                  </w:r>
                  <w:r>
                    <w:rPr>
                      <w:rFonts w:hint="eastAsia" w:ascii="宋体" w:hAnsi="宋体" w:eastAsia="宋体" w:cs="宋体"/>
                      <w:color w:val="auto"/>
                      <w:kern w:val="0"/>
                      <w:szCs w:val="21"/>
                      <w:highlight w:val="none"/>
                      <w:lang w:bidi="ar"/>
                    </w:rPr>
                    <w:t>。</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6、RAC支持ASMLib/RAW等磁盘绑定方式。</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7、支持各种组合的ADG备库搭建，包括源端和目标端均为RAC环境。</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▲8、支持搭建一主多从ADG环境。</w:t>
                  </w:r>
                  <w:r>
                    <w:rPr>
                      <w:rFonts w:hint="eastAsia" w:ascii="宋体" w:hAnsi="宋体" w:eastAsia="宋体" w:cs="宋体"/>
                      <w:b/>
                      <w:bCs/>
                      <w:color w:val="auto"/>
                      <w:kern w:val="0"/>
                      <w:szCs w:val="21"/>
                      <w:highlight w:val="none"/>
                      <w:lang w:bidi="ar"/>
                    </w:rPr>
                    <w:t>提供功能界面截图。</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9、支持自动化安装客户端。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监控中心</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1、可按照数据库版本/是否CDB/是否备库匹配不同的监控模板。</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2、可监控PDB级别的用户/表空间/对象状态。</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3、支持结合文件系统实际剩余容量告警表空间使用率。</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4、支持大屏展示纳管Oracle数据库的性能信息，包含活动会话、RAC延迟、RAC流量。</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5、支持大屏滚动展示核心数据库的性能曲线。</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6、支持大屏展示OGG同步链路，包括状态和各进程延迟。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健康检查</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支持按照最佳实践经验结合数据库实际版本和状态评估各优化参数设置是否合理。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1"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容量管理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1、表空间扩容评估：根据实际文件系统或ASM卷剩余容量，评估多少小时后表空间使用率达到设定阈值。快速至跳转扩容页面。</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2、全局性能评估：基于最近1个月DB Time指标，找出性能异常时间点。</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3、存储开销统计：从ASM卷组、表空间方面，统计存储当前开销和历史开销。</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4、全局消耗排名，数据库总容量、PDB容量、表空间容量、ASM卷组、归档文件生成量。</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5、全局消耗排名，所有数据库中SQL语句的总/单次-执行时间/CPU时间/逻辑读/物理读排名。</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6、全局消耗排名，所有数据库的TimeModle和WaitEvent排名。</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7、历史容量曲线，包含数据库容量/PDB容量/表空间容量/ASM容量/归档文件消耗/时间模型。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性能管理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1、支持实时会话的展示，支持杀会话。</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bidi="ar"/>
                    </w:rPr>
                    <w:t>支持一键故障诊断，查看数据库当前是否存在问题。</w:t>
                  </w:r>
                  <w:r>
                    <w:rPr>
                      <w:rFonts w:hint="eastAsia" w:ascii="宋体" w:hAnsi="宋体" w:eastAsia="宋体" w:cs="宋体"/>
                      <w:b/>
                      <w:bCs/>
                      <w:color w:val="auto"/>
                      <w:kern w:val="0"/>
                      <w:szCs w:val="21"/>
                      <w:highlight w:val="none"/>
                      <w:lang w:bidi="ar"/>
                    </w:rPr>
                    <w:t>提供功能界面截图。</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3、支持锁阻塞链的展示。</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4、支持按客户端或者SQL_ID批量杀会话。</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5、支持展示任意时间段内的高消耗SQL语句。</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6、支持展示任意时间段内的DB Time/WaitClass/WaitEvent曲线。</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7、支持展示度量Metric曲线。</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8、支持回顾查看任意时间段内的SQL分布、会话分布、阻塞情况、等待事件分布、临时文件消耗等情况。</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9、支持开启PDB数据库的AWR报告，支持生成AWR快照。</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10、支持在线生成非CDB数据库和PDB数据库的AWR/ASH报告，</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11、支持展示内存配置和消耗情况。</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12、支持展示VersionCount高的SQL语句。</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13、支持统计没有使用绑定变量的SQL语句，可进行文本对比查看。</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14、支持展示Undo Segment消耗明细。</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15、支持展示Temp Segment消耗明细。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SQL管理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1、支持SQL执行计划展示，可选择Child_Number。</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2、执行计划内部可显示对象的实际大小和预估大小。</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kern w:val="0"/>
                      <w:szCs w:val="21"/>
                      <w:highlight w:val="none"/>
                      <w:lang w:bidi="ar"/>
                    </w:rPr>
                    <w:t>支持SQL语句的智能分析，给出优化建议。</w:t>
                  </w:r>
                  <w:r>
                    <w:rPr>
                      <w:rFonts w:hint="eastAsia" w:ascii="宋体" w:hAnsi="宋体" w:eastAsia="宋体" w:cs="宋体"/>
                      <w:b/>
                      <w:bCs/>
                      <w:color w:val="auto"/>
                      <w:kern w:val="0"/>
                      <w:szCs w:val="21"/>
                      <w:highlight w:val="none"/>
                      <w:lang w:bidi="ar"/>
                    </w:rPr>
                    <w:t>提供功能界面截图。</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4、支持查看SQL语句绑定变量带入值</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5、支持查看SQL Monitor报告</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b/>
                      <w:bCs/>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kern w:val="0"/>
                      <w:szCs w:val="21"/>
                      <w:highlight w:val="none"/>
                      <w:lang w:bidi="ar"/>
                    </w:rPr>
                    <w:t>支持根据不同的子游标，生成10053报告。</w:t>
                  </w:r>
                  <w:r>
                    <w:rPr>
                      <w:rFonts w:hint="eastAsia" w:ascii="宋体" w:hAnsi="宋体" w:eastAsia="宋体" w:cs="宋体"/>
                      <w:b/>
                      <w:bCs/>
                      <w:color w:val="auto"/>
                      <w:kern w:val="0"/>
                      <w:szCs w:val="21"/>
                      <w:highlight w:val="none"/>
                      <w:lang w:bidi="ar"/>
                    </w:rPr>
                    <w:t>提供功能界面截图。</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7、支持绑定/解绑执行计划。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性能报告</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出具整个数据库的整体SQL优化建议报告，TOPSQL列表用户可自定义排序维度，并逐条打印相关SQL的信息和优化建议，报告内容包括TOPSQL列表中的每个SQL的SQL文本、执行计划、涉及表的索引/列选择性/统计信息、SQL执行中的等待事件等信息、优化建议，并支持导出下载整体SQL优化建议报告。</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2、支持根据单个或者多个SQL ID出具单条SQL的优化报告，报告内容包括SQL文本、执行计划、涉及表的索引/列选择性/统计信息、SQL执行中的等待事件等信息、优化建议，并支持导出下载单个多个SQL ID的SQL优化报告。</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出具指定时间段内的数据库运行报告。报告内容包括主机的基础信息，以及CPU/内存/SWAP/磁盘吞吐量/磁盘IOPS/网络带宽等曲线。数据库的基础信息，以及时间模型/WaitClass/WaitEvent/会话数/活动会话数/TPS/QPS/ASM/表空间等曲线。选择时间段间内的TopSQL/告警信息/主机告警/巡检报告等。</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4、支持出具在线SQL评审报告，采集当前数据库内存中运行的SQL是否存在性能隐患，支持PDB数据库采集。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故障诊断</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1、支持按照日期和关键字查看AlertLog。</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2、支持按照日期和关键字查看ASM AlertLog和CRS AlertLog。</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3、支持按照日期和关键字查看CRS各组件详细日志。</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4、支持按照日期查看和下载Trace日志。</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▲5、支持快速生成System State Dump保留故障现场信息,支持快速生成性能数据Dump保留故障现场信息。</w:t>
                  </w:r>
                  <w:r>
                    <w:rPr>
                      <w:rFonts w:hint="eastAsia" w:ascii="宋体" w:hAnsi="宋体" w:eastAsia="宋体" w:cs="宋体"/>
                      <w:b/>
                      <w:bCs/>
                      <w:color w:val="auto"/>
                      <w:kern w:val="0"/>
                      <w:szCs w:val="21"/>
                      <w:highlight w:val="none"/>
                      <w:lang w:bidi="ar"/>
                    </w:rPr>
                    <w:t>提供功能界面截图。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多租户管理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1、支持PDB数据库的展示新建/修改/启停/修改限额/重命名/删除。</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2、支持快速克隆PDB。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权限管理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1、支持用户的新建/编辑/修改默认表空间/修改Profile/锁定/解锁/删除。</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2、支持调整用户的系统权限/对象权限/存储过程权限。</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3、支持批量导出用户赋权SQL。</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4、支持角色的查看/新建/编辑/删除。</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5、支持Profile的查看/新建。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空间管理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1、支持ASM卷组信息的查看/新建/扩容/挂载/卸载/删除。</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2、支持表空间的新建/扩容/删除，且支持后台批量新增。</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3、表空间新建/扩容时，展示文件系统信息，评估是否会导致文件系统使用率过高。</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4、支持控制文件的展示。</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5、支持在线切换日志组，下发Checkpoint检查点。</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6、支持Online日志文件的展示/新增/删除/新增成员/删除成员。</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7、支持Standby日志文件的展示/新增/删除/新增成员/删除成员。</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8、支持归档日志的展示，包含当前保留了多久归档日志。</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9、支持归档日志的分析，展示指定时间段内的数据库对象变化量排名。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参数管理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1、支持参数的查看和修改。</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2、支持不同日期的数据库参数对比。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对象管理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1、支持快速查看表和索引信息，包含基础信息、空间消耗、列信息、子对象、分区和子分区信息、统计信息、历史统计信息、导出。</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2、支持展示视图和存储过程的基础信息。</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3、支持快速生成表/索引/视图/存储过程的DDL创建脚本。</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4、支持展示碎片率最高的表，支持表碎片整理。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备份恢复</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1、EXPDP导出，支持库级、用户级、表级别导出，支持PDB数据库的导出。</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支持导出多个用户和表、支持指定并行度、DUMP版本、指定元数据/数据。</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2、RMAN备份，支持RMAN全量备份、累加增量备份、差异增量备份、归档文件备份。</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3、支持RMAN的备份策略查看。</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4、支持数据库的备份片信息查看。</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5、支持配置定时/定期EXPDP/RMAN备份，支持定期自动清理过期备份。</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6、支持RMAN异机不完全恢复，支持对接磁盘备份、NBU带库和Oracle ZDLRA，支持保存恢复方案，支持附加Shell命令配置脱敏和导出脚本。</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7、支持IMPDP异机不完全恢复支持保存恢复方案，支持附加Shell命令配置脱敏脚本。</w:t>
                  </w:r>
                </w:p>
                <w:p>
                  <w:pPr>
                    <w:keepNext w:val="0"/>
                    <w:keepLines w:val="0"/>
                    <w:suppressLineNumbers w:val="0"/>
                    <w:tabs>
                      <w:tab w:val="left" w:pos="2310"/>
                    </w:tabs>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kern w:val="0"/>
                      <w:szCs w:val="21"/>
                      <w:highlight w:val="none"/>
                      <w:lang w:bidi="ar"/>
                    </w:rPr>
                    <w:t>支持集中恢复验证配置，统一的恢复验证机器并批量进行多数据库的恢复验证。</w:t>
                  </w:r>
                  <w:r>
                    <w:rPr>
                      <w:rFonts w:hint="eastAsia" w:ascii="宋体" w:hAnsi="宋体" w:eastAsia="宋体" w:cs="宋体"/>
                      <w:b/>
                      <w:bCs/>
                      <w:color w:val="auto"/>
                      <w:kern w:val="0"/>
                      <w:szCs w:val="21"/>
                      <w:highlight w:val="none"/>
                      <w:lang w:bidi="ar"/>
                    </w:rPr>
                    <w:t>提供功能界面截图。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资源管理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支持单机/Standalone/RAC数据库实例/监听器/SCAN监听器/CRS集群件的启动/停止/重启。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灾备管理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1、ADG同步状态、当前日志编号、延迟、错误、MPR进程状态展示。支持手动启停MRP。</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2、ADG延迟超过60秒展示备库缺失的归档日志数和容量。</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3、支持SwitchOver切换，支持切换前进行评估检查。</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4、支持FailOver切换，切换前支持建立还原点，切换后可通过还原点进行闪回。</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5、支持开启和关闭FlashBack，支持新增/删除闪回点。</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6、支持将备库闪回到指定的闪回点/SCN/时间。</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7、支持将备库在快照模式和普通模式之间切换，临时将备库开启至读写状态使用。</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8、支持将备库在只读模式和普通模式之间切换，临时将备库开启至只读状态使用。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234" w:type="dxa"/>
                  <w:vMerge w:val="restart"/>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MySQL</w:t>
                  </w: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自动化安装</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1、支持5.6/5.7/8.0版本在Linux平台上安装。</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2、支持搭建主从/MGR集群。</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3、支持搭建Orchestrator 高可用集群。</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4、支持批量新建节点。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健康检查</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支持按照最佳实践经验结合数据库实际版本和状态评估各优化参数设置是否合理。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性能管理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1、支持实时会话的展示，支持杀会话。</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2、支持锁阻塞层次展示。</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3、支持引擎状态展示。</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4、支持展示任意时间段内的高消耗SQL语句。</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5、支持展示任意时间段内性能曲线。</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6、支持展示任意时间段慢查询报告。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SQL管理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支持执行计划展示。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故障诊断</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1、支持错误日志展示。</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2、支持慢查询日志展示。</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▲3、支持故障时，快速保存MySQL所有线程堆栈，操作系统性能数据、网络连接信息。</w:t>
                  </w:r>
                  <w:r>
                    <w:rPr>
                      <w:rFonts w:hint="eastAsia" w:ascii="宋体" w:hAnsi="宋体" w:eastAsia="宋体" w:cs="宋体"/>
                      <w:b/>
                      <w:bCs/>
                      <w:color w:val="auto"/>
                      <w:kern w:val="0"/>
                      <w:szCs w:val="21"/>
                      <w:highlight w:val="none"/>
                      <w:lang w:bidi="ar"/>
                    </w:rPr>
                    <w:t>提供功能界面截图。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数据库管理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支持数据库的展示/修改/删除。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权限管理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1、支持用户的新建/编辑/锁定/解锁/删除。</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2、支持调整用户的全局权限/库级权限/存储过程权限。</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3、支持批量导出用户赋权SQL。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对象管理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1、支持快速查看表和索引信息，包含基础信息、空间消耗、列信息、分区信息、统计信息。</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2、支持展示碎片率最高的表，支持表碎片整理。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备份恢复</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1、mysqldump导出，支持实例/库/表 级别。</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2、mysqldump导入，支持实例/库/表 级别。</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3、Xtrabackup备份。支持全量/增量备份。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bookmarkStart w:id="0" w:name="_GoBack"/>
                  <w:bookmarkEnd w:id="0"/>
                  <w:r>
                    <w:rPr>
                      <w:rFonts w:hint="eastAsia" w:ascii="宋体" w:hAnsi="宋体" w:eastAsia="宋体" w:cs="宋体"/>
                      <w:color w:val="auto"/>
                      <w:kern w:val="0"/>
                      <w:szCs w:val="21"/>
                      <w:highlight w:val="none"/>
                      <w:lang w:bidi="ar"/>
                    </w:rPr>
                    <w:t>资源管理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支持实例启动和停止。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灾备管理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1、支持主从、MGR、Orchestrator集群同步状态、延迟、错误展示，支持启停备库Slave进程。</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2、支持主从和Orchestrator 高可用集群的切换。</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3、支持Orchestrator 高可用集群自动切换后的加回集群操作。</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4、支持同一集群内，数据库级别校验，支持对象对比/对象定义对比/记录数对比/记录一致性对比。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34" w:type="dxa"/>
                  <w:vMerge w:val="restart"/>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SQL Server</w:t>
                  </w: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自动化安装</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1、支持2012/2014/2016/2017/2019等版本自动化安装。</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2、支持SSMS客户端自动化安装。</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kern w:val="0"/>
                      <w:szCs w:val="21"/>
                      <w:highlight w:val="none"/>
                      <w:lang w:bidi="ar"/>
                    </w:rPr>
                    <w:t>支持AllwaysON高可用集群自动化安装。</w:t>
                  </w:r>
                  <w:r>
                    <w:rPr>
                      <w:rFonts w:hint="eastAsia" w:ascii="宋体" w:hAnsi="宋体" w:eastAsia="宋体" w:cs="宋体"/>
                      <w:b/>
                      <w:bCs/>
                      <w:color w:val="auto"/>
                      <w:kern w:val="0"/>
                      <w:szCs w:val="21"/>
                      <w:highlight w:val="none"/>
                      <w:lang w:bidi="ar"/>
                    </w:rPr>
                    <w:t>提供功能界面截图。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性能管理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1、支持实时会话的展示，支持杀会话。</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2、支持展示任意时间段内的高消耗SQL语句。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SQL管理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支持执行计划展示，可选择PLAN_HANDLE。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数据库管理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支持数据库的展示。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权限管理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1、支持登录名的新建/编辑/锁定/解锁/删除。</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2、支持用户的新建/编辑/锁定/解锁/删除。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参数管理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支持参数的查看。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灾备管理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1、支持Windows集群状态展示。</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2、支持AllwaysON集群的高可用组的同步展示。</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3、支持AllwaysON集群的高可用组的切换。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234" w:type="dxa"/>
                  <w:vMerge w:val="restart"/>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PostgreSQL</w:t>
                  </w: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自动化安装</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1、支持9.5~15版本在Linux平台自动化安装。</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2、支持源码编译方式在Linux平台自动化安装。</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3、支持企业版EDB在Linux平台上自动化安装。</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4、支持搭建一主多从和级联流复制集群。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空间管理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1、支持数据库的展示。</w:t>
                  </w:r>
                </w:p>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2、支持方案的展示。</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3、支持表空间的展示。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权限管理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1、支持用户的查看和导出权限。</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2、支持HBA配置文件的查看。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参数管理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支持参数的查看。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灾备管理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1、支持流复制集群的同步状态展示，启停备库同步进程。</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2、支持流复制集群的切换。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34" w:type="dxa"/>
                  <w:vMerge w:val="restart"/>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达梦</w:t>
                  </w: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自动化安装</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1、支持达梦V7/V8版本自动化安装。</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2、支持搭建主从集群。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性能管理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1、支持实时会话的展示，支持杀会话。</w:t>
                  </w:r>
                </w:p>
                <w:p>
                  <w:pPr>
                    <w:keepNext w:val="0"/>
                    <w:keepLines w:val="0"/>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2、支持展示任意时间段内的高消耗SQL语句。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SQL管理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支持执行计划展示，可选择PLAN_HANDLE。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center"/>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空间管理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支持数据文件和日志文件大小的展示。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权限管理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支持用户的查看和导出权限。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234" w:type="dxa"/>
                  <w:vMerge w:val="continue"/>
                  <w:noWrap/>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c>
                <w:tcPr>
                  <w:tcW w:w="964" w:type="dxa"/>
                  <w:noWrap/>
                  <w:vAlign w:val="center"/>
                </w:tcPr>
                <w:p>
                  <w:pPr>
                    <w:keepNext w:val="0"/>
                    <w:keepLines w:val="0"/>
                    <w:widowControl/>
                    <w:suppressLineNumbers w:val="0"/>
                    <w:spacing w:before="0" w:beforeAutospacing="0" w:after="0" w:afterAutospacing="0" w:line="440" w:lineRule="exact"/>
                    <w:ind w:left="0" w:right="0"/>
                    <w:jc w:val="center"/>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参数管理</w:t>
                  </w:r>
                </w:p>
              </w:tc>
              <w:tc>
                <w:tcPr>
                  <w:tcW w:w="4741" w:type="dxa"/>
                  <w:vAlign w:val="center"/>
                </w:tcPr>
                <w:p>
                  <w:pPr>
                    <w:keepNext w:val="0"/>
                    <w:keepLines w:val="0"/>
                    <w:widowControl/>
                    <w:suppressLineNumbers w:val="0"/>
                    <w:spacing w:before="0" w:beforeAutospacing="0" w:after="0" w:afterAutospacing="0" w:line="440" w:lineRule="exact"/>
                    <w:ind w:left="0" w:right="0"/>
                    <w:jc w:val="left"/>
                    <w:textAlignment w:val="bottom"/>
                    <w:rPr>
                      <w:rFonts w:hint="default"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支持参数的查看。</w:t>
                  </w:r>
                </w:p>
              </w:tc>
            </w:tr>
          </w:tbl>
          <w:p>
            <w:pPr>
              <w:keepNext w:val="0"/>
              <w:keepLines w:val="0"/>
              <w:suppressLineNumbers w:val="0"/>
              <w:spacing w:before="0" w:beforeAutospacing="0" w:after="0" w:afterAutospacing="0"/>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1.1.3数据库智能运维平台</w:t>
            </w:r>
          </w:p>
          <w:p>
            <w:pPr>
              <w:keepNext w:val="0"/>
              <w:keepLines w:val="0"/>
              <w:suppressLineNumbers w:val="0"/>
              <w:spacing w:before="0" w:beforeAutospacing="0" w:after="0" w:afterAutospacing="0"/>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▲投标人提供与数据库智能运维平台相关的软件著作权。</w:t>
            </w:r>
          </w:p>
          <w:p>
            <w:pPr>
              <w:keepNext w:val="0"/>
              <w:keepLines w:val="0"/>
              <w:suppressLineNumbers w:val="0"/>
              <w:spacing w:before="0" w:beforeAutospacing="0" w:after="0" w:afterAutospacing="0"/>
              <w:ind w:left="0" w:right="0"/>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1.2其它要求</w:t>
            </w:r>
          </w:p>
          <w:tbl>
            <w:tblPr>
              <w:tblStyle w:val="4"/>
              <w:tblW w:w="7078" w:type="dxa"/>
              <w:jc w:val="center"/>
              <w:tblLayout w:type="autofit"/>
              <w:tblCellMar>
                <w:top w:w="0" w:type="dxa"/>
                <w:left w:w="108" w:type="dxa"/>
                <w:bottom w:w="0" w:type="dxa"/>
                <w:right w:w="108" w:type="dxa"/>
              </w:tblCellMar>
            </w:tblPr>
            <w:tblGrid>
              <w:gridCol w:w="569"/>
              <w:gridCol w:w="1572"/>
              <w:gridCol w:w="4402"/>
              <w:gridCol w:w="535"/>
            </w:tblGrid>
            <w:tr>
              <w:tblPrEx>
                <w:tblCellMar>
                  <w:top w:w="0" w:type="dxa"/>
                  <w:left w:w="108" w:type="dxa"/>
                  <w:bottom w:w="0" w:type="dxa"/>
                  <w:right w:w="108" w:type="dxa"/>
                </w:tblCellMar>
              </w:tblPrEx>
              <w:trPr>
                <w:trHeight w:val="888"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要求项</w:t>
                  </w:r>
                </w:p>
              </w:tc>
              <w:tc>
                <w:tcPr>
                  <w:tcW w:w="4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tblPrEx>
                <w:tblCellMar>
                  <w:top w:w="0" w:type="dxa"/>
                  <w:left w:w="108" w:type="dxa"/>
                  <w:bottom w:w="0" w:type="dxa"/>
                  <w:right w:w="108" w:type="dxa"/>
                </w:tblCellMar>
              </w:tblPrEx>
              <w:trPr>
                <w:trHeight w:val="1326"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 xml:space="preserve">★实施范围 </w:t>
                  </w:r>
                </w:p>
              </w:tc>
              <w:tc>
                <w:tcPr>
                  <w:tcW w:w="4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napToGrid w:val="0"/>
                    <w:spacing w:before="0" w:beforeAutospacing="0" w:after="0" w:afterAutospacing="0" w:line="44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本项目的软件系统和功能模块，永久授权中山市人民医院以及相关分院范围一起使用，且不限纳管数量。</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r>
            <w:tr>
              <w:tblPrEx>
                <w:tblCellMar>
                  <w:top w:w="0" w:type="dxa"/>
                  <w:left w:w="108" w:type="dxa"/>
                  <w:bottom w:w="0" w:type="dxa"/>
                  <w:right w:w="108" w:type="dxa"/>
                </w:tblCellMar>
              </w:tblPrEx>
              <w:trPr>
                <w:trHeight w:val="2213" w:hRule="atLeast"/>
                <w:jc w:val="center"/>
              </w:trPr>
              <w:tc>
                <w:tcPr>
                  <w:tcW w:w="5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5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安全性</w:t>
                  </w:r>
                </w:p>
              </w:tc>
              <w:tc>
                <w:tcPr>
                  <w:tcW w:w="44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1、保障对外数据的安全性，落实《数据安全法》《个人信息保护法》、《广东省健康医疗数据脱敏技术规范》等法律法规以及规范的相关要求。</w:t>
                  </w:r>
                </w:p>
                <w:p>
                  <w:pPr>
                    <w:keepNext w:val="0"/>
                    <w:keepLines w:val="0"/>
                    <w:suppressLineNumbers w:val="0"/>
                    <w:spacing w:before="0" w:beforeAutospacing="0" w:after="0" w:afterAutospacing="0" w:line="440" w:lineRule="exact"/>
                    <w:ind w:left="0" w:right="0"/>
                    <w:jc w:val="left"/>
                    <w:rPr>
                      <w:rFonts w:hint="default" w:ascii="宋体" w:hAnsi="宋体" w:eastAsia="宋体" w:cs="宋体"/>
                      <w:color w:val="auto"/>
                      <w:szCs w:val="21"/>
                      <w:highlight w:val="none"/>
                    </w:rPr>
                  </w:pPr>
                  <w:r>
                    <w:rPr>
                      <w:rFonts w:hint="eastAsia" w:ascii="宋体" w:hAnsi="宋体" w:eastAsia="宋体" w:cs="宋体"/>
                      <w:color w:val="auto"/>
                      <w:szCs w:val="21"/>
                      <w:highlight w:val="none"/>
                    </w:rPr>
                    <w:t>2、具有完备的应用和数据的容灾、备份机制，RPO≤0.5小时，RTO≤1小时</w:t>
                  </w:r>
                </w:p>
              </w:tc>
              <w:tc>
                <w:tcPr>
                  <w:tcW w:w="5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szCs w:val="21"/>
                      <w:highlight w:val="none"/>
                    </w:rPr>
                  </w:pPr>
                </w:p>
              </w:tc>
            </w:tr>
          </w:tbl>
          <w:p>
            <w:pPr>
              <w:keepNext w:val="0"/>
              <w:keepLines w:val="0"/>
              <w:suppressLineNumbers w:val="0"/>
              <w:spacing w:before="0" w:beforeAutospacing="0" w:after="0" w:afterAutospacing="0"/>
              <w:ind w:left="0" w:right="0"/>
              <w:rPr>
                <w:rFonts w:hint="default" w:ascii="宋体" w:hAnsi="宋体" w:eastAsia="宋体" w:cs="宋体"/>
                <w:b/>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2"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说明</w:t>
            </w:r>
          </w:p>
        </w:tc>
        <w:tc>
          <w:tcPr>
            <w:tcW w:w="7720" w:type="dxa"/>
            <w:gridSpan w:val="2"/>
          </w:tcPr>
          <w:p>
            <w:pPr>
              <w:keepNext w:val="0"/>
              <w:keepLines w:val="0"/>
              <w:suppressLineNumbers w:val="0"/>
              <w:spacing w:before="0" w:beforeAutospacing="0" w:after="0" w:afterAutospacing="0"/>
              <w:ind w:left="0" w:right="0"/>
              <w:jc w:val="left"/>
              <w:rPr>
                <w:rFonts w:hint="default"/>
                <w:color w:val="auto"/>
                <w:highlight w:val="none"/>
              </w:rPr>
            </w:pPr>
            <w:r>
              <w:rPr>
                <w:rFonts w:hint="default"/>
                <w:color w:val="auto"/>
                <w:highlight w:val="none"/>
              </w:rPr>
              <w:t>打“★”号条款为实质性条款，若有任何一条负偏离或不满足则导致投标无效。</w:t>
            </w:r>
            <w:r>
              <w:rPr>
                <w:rFonts w:hint="default"/>
                <w:color w:val="auto"/>
                <w:highlight w:val="none"/>
              </w:rPr>
              <w:br w:type="textWrapping"/>
            </w:r>
            <w:r>
              <w:rPr>
                <w:rFonts w:hint="default"/>
                <w:color w:val="auto"/>
                <w:highlight w:val="none"/>
              </w:rPr>
              <w:t>打“▲”号条款为重要技术参数，若有部分“▲”条款未响应或不满足，将导致其响应性评审加重扣分，但不作为无效投标条款。</w:t>
            </w:r>
          </w:p>
        </w:tc>
      </w:tr>
    </w:tbl>
    <w:p>
      <w:pPr>
        <w:rPr>
          <w:color w:val="auto"/>
          <w:highlight w:val="none"/>
        </w:rPr>
      </w:pPr>
    </w:p>
    <w:p>
      <w:pPr>
        <w:rPr>
          <w:color w:val="auto"/>
          <w:highlight w:val="none"/>
        </w:rPr>
      </w:pPr>
      <w:r>
        <w:rPr>
          <w:b/>
          <w:color w:val="auto"/>
          <w:highlight w:val="none"/>
        </w:rPr>
        <w:t>附表</w:t>
      </w:r>
      <w:r>
        <w:rPr>
          <w:rFonts w:hint="eastAsia"/>
          <w:b/>
          <w:color w:val="auto"/>
          <w:highlight w:val="none"/>
        </w:rPr>
        <w:t>七</w:t>
      </w:r>
      <w:r>
        <w:rPr>
          <w:b/>
          <w:color w:val="auto"/>
          <w:highlight w:val="none"/>
        </w:rPr>
        <w:t>：</w:t>
      </w:r>
      <w:r>
        <w:rPr>
          <w:rFonts w:hint="eastAsia"/>
          <w:b/>
          <w:color w:val="auto"/>
          <w:highlight w:val="none"/>
        </w:rPr>
        <w:t xml:space="preserve">集成服务 </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3"/>
        <w:gridCol w:w="426"/>
        <w:gridCol w:w="73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参数性质</w:t>
            </w:r>
          </w:p>
        </w:tc>
        <w:tc>
          <w:tcPr>
            <w:tcW w:w="426"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序号</w:t>
            </w:r>
          </w:p>
        </w:tc>
        <w:tc>
          <w:tcPr>
            <w:tcW w:w="7323"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tcPr>
          <w:p>
            <w:pPr>
              <w:keepNext w:val="0"/>
              <w:keepLines w:val="0"/>
              <w:suppressLineNumbers w:val="0"/>
              <w:spacing w:before="0" w:beforeAutospacing="0" w:after="0" w:afterAutospacing="0"/>
              <w:ind w:left="0" w:right="0"/>
              <w:rPr>
                <w:rFonts w:hint="default"/>
                <w:color w:val="auto"/>
                <w:highlight w:val="none"/>
              </w:rPr>
            </w:pPr>
          </w:p>
        </w:tc>
        <w:tc>
          <w:tcPr>
            <w:tcW w:w="426" w:type="dxa"/>
          </w:tcPr>
          <w:p>
            <w:pPr>
              <w:keepNext w:val="0"/>
              <w:keepLines w:val="0"/>
              <w:numPr>
                <w:ilvl w:val="0"/>
                <w:numId w:val="8"/>
              </w:numPr>
              <w:suppressLineNumbers w:val="0"/>
              <w:spacing w:before="0" w:beforeAutospacing="0" w:after="0" w:afterAutospacing="0"/>
              <w:ind w:right="0"/>
              <w:jc w:val="center"/>
              <w:rPr>
                <w:rFonts w:hint="default"/>
                <w:color w:val="auto"/>
                <w:highlight w:val="none"/>
              </w:rPr>
            </w:pPr>
          </w:p>
        </w:tc>
        <w:tc>
          <w:tcPr>
            <w:tcW w:w="7323" w:type="dxa"/>
          </w:tcPr>
          <w:p>
            <w:pPr>
              <w:keepNext w:val="0"/>
              <w:keepLines w:val="0"/>
              <w:suppressLineNumbers w:val="0"/>
              <w:spacing w:before="0" w:beforeAutospacing="0" w:after="0" w:afterAutospacing="0"/>
              <w:ind w:left="0" w:right="0"/>
              <w:rPr>
                <w:rFonts w:hint="default" w:ascii="宋体" w:hAnsi="宋体" w:eastAsia="宋体" w:cs="宋体"/>
                <w:b/>
                <w:color w:val="auto"/>
                <w:szCs w:val="21"/>
                <w:highlight w:val="none"/>
              </w:rPr>
            </w:pPr>
          </w:p>
          <w:tbl>
            <w:tblPr>
              <w:tblStyle w:val="7"/>
              <w:tblW w:w="7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118"/>
              <w:gridCol w:w="4071"/>
              <w:gridCol w:w="616"/>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92"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序号</w:t>
                  </w:r>
                </w:p>
              </w:tc>
              <w:tc>
                <w:tcPr>
                  <w:tcW w:w="1118"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设备名称</w:t>
                  </w:r>
                </w:p>
              </w:tc>
              <w:tc>
                <w:tcPr>
                  <w:tcW w:w="4071"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产品配置需求</w:t>
                  </w:r>
                </w:p>
              </w:tc>
              <w:tc>
                <w:tcPr>
                  <w:tcW w:w="616"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数量</w:t>
                  </w:r>
                </w:p>
              </w:tc>
              <w:tc>
                <w:tcPr>
                  <w:tcW w:w="700"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592"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118"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kern w:val="0"/>
                      <w:szCs w:val="21"/>
                      <w:highlight w:val="none"/>
                      <w:lang w:eastAsia="zh-Hans"/>
                    </w:rPr>
                  </w:pPr>
                  <w:r>
                    <w:rPr>
                      <w:rFonts w:hint="eastAsia" w:ascii="宋体" w:hAnsi="宋体" w:eastAsia="宋体" w:cs="宋体"/>
                      <w:color w:val="auto"/>
                      <w:kern w:val="0"/>
                      <w:szCs w:val="21"/>
                      <w:highlight w:val="none"/>
                      <w:lang w:eastAsia="zh-Hans"/>
                    </w:rPr>
                    <w:t>实施服务</w:t>
                  </w:r>
                </w:p>
              </w:tc>
              <w:tc>
                <w:tcPr>
                  <w:tcW w:w="4071" w:type="dxa"/>
                  <w:vAlign w:val="center"/>
                </w:tcPr>
                <w:p>
                  <w:pPr>
                    <w:keepNext w:val="0"/>
                    <w:keepLines w:val="0"/>
                    <w:widowControl/>
                    <w:suppressLineNumbers w:val="0"/>
                    <w:spacing w:before="0" w:beforeAutospacing="0" w:after="0" w:afterAutospacing="0" w:line="440" w:lineRule="exact"/>
                    <w:ind w:left="0" w:right="0"/>
                    <w:jc w:val="left"/>
                    <w:rPr>
                      <w:rFonts w:hint="default" w:ascii="宋体" w:hAnsi="宋体" w:eastAsia="宋体" w:cs="宋体"/>
                      <w:color w:val="auto"/>
                      <w:kern w:val="0"/>
                      <w:szCs w:val="21"/>
                      <w:highlight w:val="none"/>
                      <w:lang w:eastAsia="zh-Hans"/>
                    </w:rPr>
                  </w:pPr>
                  <w:r>
                    <w:rPr>
                      <w:rFonts w:hint="eastAsia" w:ascii="宋体" w:hAnsi="宋体" w:eastAsia="宋体" w:cs="宋体"/>
                      <w:color w:val="auto"/>
                      <w:kern w:val="0"/>
                      <w:szCs w:val="21"/>
                      <w:highlight w:val="none"/>
                      <w:lang w:eastAsia="zh-Hans"/>
                    </w:rPr>
                    <w:t>虚拟化扩容，原有数据迁移，</w:t>
                  </w:r>
                  <w:r>
                    <w:rPr>
                      <w:rFonts w:hint="eastAsia" w:ascii="宋体" w:hAnsi="宋体" w:eastAsia="宋体" w:cs="宋体"/>
                      <w:color w:val="auto"/>
                      <w:kern w:val="0"/>
                      <w:szCs w:val="21"/>
                      <w:highlight w:val="none"/>
                    </w:rPr>
                    <w:t>搭建vSphere Replication，按需制定各虚拟机的RPO复制策略，实现对物理服务器和虚拟服务器的连续保护，实时数据保护平台</w:t>
                  </w:r>
                  <w:r>
                    <w:rPr>
                      <w:rFonts w:hint="eastAsia" w:ascii="宋体" w:hAnsi="宋体" w:eastAsia="宋体" w:cs="宋体"/>
                      <w:color w:val="auto"/>
                      <w:kern w:val="0"/>
                      <w:szCs w:val="21"/>
                      <w:highlight w:val="none"/>
                      <w:lang w:eastAsia="zh-Hans"/>
                    </w:rPr>
                    <w:t>保护策略实施等</w:t>
                  </w:r>
                </w:p>
              </w:tc>
              <w:tc>
                <w:tcPr>
                  <w:tcW w:w="616"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700" w:type="dxa"/>
                  <w:vAlign w:val="center"/>
                </w:tcPr>
                <w:p>
                  <w:pPr>
                    <w:keepNext w:val="0"/>
                    <w:keepLines w:val="0"/>
                    <w:widowControl/>
                    <w:suppressLineNumbers w:val="0"/>
                    <w:spacing w:before="0" w:beforeAutospacing="0" w:after="0" w:afterAutospacing="0" w:line="44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套</w:t>
                  </w:r>
                </w:p>
              </w:tc>
            </w:tr>
          </w:tbl>
          <w:p>
            <w:pPr>
              <w:keepNext w:val="0"/>
              <w:keepLines w:val="0"/>
              <w:suppressLineNumbers w:val="0"/>
              <w:spacing w:before="0" w:beforeAutospacing="0" w:after="0" w:afterAutospacing="0"/>
              <w:ind w:left="0" w:right="0"/>
              <w:rPr>
                <w:rFonts w:hint="default" w:ascii="宋体" w:hAnsi="宋体" w:eastAsia="宋体" w:cs="宋体"/>
                <w:color w:val="auto"/>
                <w:szCs w:val="21"/>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3" w:type="dxa"/>
          </w:tcPr>
          <w:p>
            <w:pPr>
              <w:keepNext w:val="0"/>
              <w:keepLines w:val="0"/>
              <w:suppressLineNumbers w:val="0"/>
              <w:spacing w:before="0" w:beforeAutospacing="0" w:after="0" w:afterAutospacing="0"/>
              <w:ind w:left="0" w:right="0"/>
              <w:rPr>
                <w:rFonts w:hint="default"/>
                <w:color w:val="auto"/>
                <w:highlight w:val="none"/>
              </w:rPr>
            </w:pPr>
            <w:r>
              <w:rPr>
                <w:rFonts w:hint="default"/>
                <w:color w:val="auto"/>
                <w:highlight w:val="none"/>
              </w:rPr>
              <w:t>说明</w:t>
            </w:r>
          </w:p>
        </w:tc>
        <w:tc>
          <w:tcPr>
            <w:tcW w:w="7749" w:type="dxa"/>
            <w:gridSpan w:val="2"/>
          </w:tcPr>
          <w:p>
            <w:pPr>
              <w:keepNext w:val="0"/>
              <w:keepLines w:val="0"/>
              <w:suppressLineNumbers w:val="0"/>
              <w:spacing w:before="0" w:beforeAutospacing="0" w:after="0" w:afterAutospacing="0"/>
              <w:ind w:left="0" w:right="0"/>
              <w:jc w:val="left"/>
              <w:rPr>
                <w:rFonts w:hint="default"/>
                <w:color w:val="auto"/>
                <w:highlight w:val="none"/>
              </w:rPr>
            </w:pPr>
            <w:r>
              <w:rPr>
                <w:rFonts w:hint="default"/>
                <w:color w:val="auto"/>
                <w:highlight w:val="none"/>
              </w:rPr>
              <w:t>打“★”号条款为实质性条款，若有任何一条负偏离或不满足则导致投标无效。</w:t>
            </w:r>
            <w:r>
              <w:rPr>
                <w:rFonts w:hint="default"/>
                <w:color w:val="auto"/>
                <w:highlight w:val="none"/>
              </w:rPr>
              <w:br w:type="textWrapping"/>
            </w:r>
            <w:r>
              <w:rPr>
                <w:rFonts w:hint="default"/>
                <w:color w:val="auto"/>
                <w:highlight w:val="none"/>
              </w:rPr>
              <w:t>打“▲”号条款为重要技术参数，若有部分“▲”条款未响应或不满足，将导致其响应性评审加重扣分，但不作为无效投标条款。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867FF"/>
    <w:multiLevelType w:val="singleLevel"/>
    <w:tmpl w:val="85A867FF"/>
    <w:lvl w:ilvl="0" w:tentative="0">
      <w:start w:val="1"/>
      <w:numFmt w:val="decimal"/>
      <w:suff w:val="nothing"/>
      <w:lvlText w:val="%1"/>
      <w:lvlJc w:val="center"/>
      <w:pPr>
        <w:ind w:left="0" w:firstLine="0"/>
      </w:pPr>
      <w:rPr>
        <w:rFonts w:hint="default"/>
      </w:rPr>
    </w:lvl>
  </w:abstractNum>
  <w:abstractNum w:abstractNumId="1">
    <w:nsid w:val="8A83A31C"/>
    <w:multiLevelType w:val="singleLevel"/>
    <w:tmpl w:val="8A83A31C"/>
    <w:lvl w:ilvl="0" w:tentative="0">
      <w:start w:val="1"/>
      <w:numFmt w:val="decimal"/>
      <w:suff w:val="nothing"/>
      <w:lvlText w:val="%1"/>
      <w:lvlJc w:val="center"/>
      <w:pPr>
        <w:ind w:left="0" w:firstLine="0"/>
      </w:pPr>
      <w:rPr>
        <w:rFonts w:hint="default"/>
      </w:rPr>
    </w:lvl>
  </w:abstractNum>
  <w:abstractNum w:abstractNumId="2">
    <w:nsid w:val="AB4F4E47"/>
    <w:multiLevelType w:val="singleLevel"/>
    <w:tmpl w:val="AB4F4E47"/>
    <w:lvl w:ilvl="0" w:tentative="0">
      <w:start w:val="1"/>
      <w:numFmt w:val="decimal"/>
      <w:suff w:val="nothing"/>
      <w:lvlText w:val="%1"/>
      <w:lvlJc w:val="center"/>
      <w:pPr>
        <w:ind w:left="0" w:firstLine="0"/>
      </w:pPr>
      <w:rPr>
        <w:rFonts w:hint="default"/>
      </w:rPr>
    </w:lvl>
  </w:abstractNum>
  <w:abstractNum w:abstractNumId="3">
    <w:nsid w:val="D530CDDF"/>
    <w:multiLevelType w:val="singleLevel"/>
    <w:tmpl w:val="D530CDDF"/>
    <w:lvl w:ilvl="0" w:tentative="0">
      <w:start w:val="1"/>
      <w:numFmt w:val="decimal"/>
      <w:suff w:val="nothing"/>
      <w:lvlText w:val="%1"/>
      <w:lvlJc w:val="center"/>
      <w:pPr>
        <w:ind w:left="0" w:firstLine="0"/>
      </w:pPr>
      <w:rPr>
        <w:rFonts w:hint="default"/>
      </w:rPr>
    </w:lvl>
  </w:abstractNum>
  <w:abstractNum w:abstractNumId="4">
    <w:nsid w:val="13A74C27"/>
    <w:multiLevelType w:val="singleLevel"/>
    <w:tmpl w:val="13A74C27"/>
    <w:lvl w:ilvl="0" w:tentative="0">
      <w:start w:val="1"/>
      <w:numFmt w:val="decimal"/>
      <w:suff w:val="nothing"/>
      <w:lvlText w:val="%1"/>
      <w:lvlJc w:val="center"/>
      <w:pPr>
        <w:ind w:left="0" w:firstLine="0"/>
      </w:pPr>
      <w:rPr>
        <w:rFonts w:hint="default"/>
      </w:rPr>
    </w:lvl>
  </w:abstractNum>
  <w:abstractNum w:abstractNumId="5">
    <w:nsid w:val="217DB7D8"/>
    <w:multiLevelType w:val="singleLevel"/>
    <w:tmpl w:val="217DB7D8"/>
    <w:lvl w:ilvl="0" w:tentative="0">
      <w:start w:val="1"/>
      <w:numFmt w:val="decimal"/>
      <w:suff w:val="nothing"/>
      <w:lvlText w:val="%1"/>
      <w:lvlJc w:val="center"/>
      <w:pPr>
        <w:ind w:left="0" w:firstLine="0"/>
      </w:pPr>
      <w:rPr>
        <w:rFonts w:hint="default"/>
      </w:rPr>
    </w:lvl>
  </w:abstractNum>
  <w:abstractNum w:abstractNumId="6">
    <w:nsid w:val="5B905EE6"/>
    <w:multiLevelType w:val="singleLevel"/>
    <w:tmpl w:val="5B905EE6"/>
    <w:lvl w:ilvl="0" w:tentative="0">
      <w:start w:val="1"/>
      <w:numFmt w:val="decimal"/>
      <w:suff w:val="nothing"/>
      <w:lvlText w:val="%1"/>
      <w:lvlJc w:val="center"/>
      <w:pPr>
        <w:ind w:left="0" w:firstLine="0"/>
      </w:pPr>
      <w:rPr>
        <w:rFonts w:hint="default"/>
      </w:rPr>
    </w:lvl>
  </w:abstractNum>
  <w:abstractNum w:abstractNumId="7">
    <w:nsid w:val="5E65B1E6"/>
    <w:multiLevelType w:val="singleLevel"/>
    <w:tmpl w:val="5E65B1E6"/>
    <w:lvl w:ilvl="0" w:tentative="0">
      <w:start w:val="1"/>
      <w:numFmt w:val="decimal"/>
      <w:suff w:val="nothing"/>
      <w:lvlText w:val="%1"/>
      <w:lvlJc w:val="center"/>
      <w:pPr>
        <w:ind w:left="0" w:firstLine="0"/>
      </w:pPr>
      <w:rPr>
        <w:rFonts w:hint="default"/>
      </w:rPr>
    </w:lvl>
  </w:abstractNum>
  <w:num w:numId="1">
    <w:abstractNumId w:val="2"/>
  </w:num>
  <w:num w:numId="2">
    <w:abstractNumId w:val="6"/>
  </w:num>
  <w:num w:numId="3">
    <w:abstractNumId w:val="7"/>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yNTg2MjQ0ZjhmMzM1OGQwZDE2ODhjNmI1MGIxMzQifQ=="/>
  </w:docVars>
  <w:rsids>
    <w:rsidRoot w:val="3F596651"/>
    <w:rsid w:val="12C119AD"/>
    <w:rsid w:val="29995DFC"/>
    <w:rsid w:val="3585695C"/>
    <w:rsid w:val="3F596651"/>
    <w:rsid w:val="5D2E44D2"/>
    <w:rsid w:val="65397A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outlineLvl w:val="2"/>
    </w:pPr>
    <w:rPr>
      <w:rFonts w:ascii="楷体_GB2312" w:hAnsi="宋体" w:eastAsia="黑体"/>
      <w:b/>
      <w:bCs/>
      <w:sz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iPriority w:val="0"/>
    <w:pPr>
      <w:spacing w:after="120" w:afterLines="0" w:afterAutospacing="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网格型3"/>
    <w:basedOn w:val="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2024-02-07T06:58:00Z</dcterms:created>
  <dc:creator>Chloe 。</dc:creator>
  <cp:lastModifiedBy>Chloe 。</cp:lastModifiedBy>
  <dcterms:modified xsi:type="dcterms:W3CDTF">2024-02-07T08:01:37Z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D0A40FEAC5BC4FCBA00A768FDD40C5B3_11</vt:lpwstr>
  </property>
</Properties>
</file>