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61832">
      <w:pPr>
        <w:spacing w:line="460" w:lineRule="exact"/>
        <w:jc w:val="center"/>
        <w:rPr>
          <w:rFonts w:ascii="宋体" w:hAnsi="宋体"/>
          <w:b/>
          <w:color w:val="auto"/>
          <w:sz w:val="32"/>
          <w:szCs w:val="32"/>
          <w:highlight w:val="none"/>
        </w:rPr>
      </w:pPr>
      <w:bookmarkStart w:id="1" w:name="_GoBack"/>
      <w:bookmarkStart w:id="0" w:name="_Toc27399201"/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用 户 需 求 书</w:t>
      </w:r>
      <w:bookmarkEnd w:id="0"/>
    </w:p>
    <w:p w14:paraId="02E4A6B3"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/>
          <w:b/>
          <w:color w:val="auto"/>
          <w:sz w:val="24"/>
          <w:szCs w:val="21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1"/>
          <w:highlight w:val="none"/>
        </w:rPr>
        <w:t>一、项目概况</w:t>
      </w:r>
    </w:p>
    <w:p w14:paraId="107D9CF1"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1</w:t>
      </w:r>
      <w:r>
        <w:rPr>
          <w:rFonts w:hint="eastAsia" w:ascii="宋体" w:hAnsi="宋体"/>
          <w:color w:val="auto"/>
          <w:szCs w:val="21"/>
          <w:highlight w:val="none"/>
        </w:rPr>
        <w:t>、项目名称：中山市中医院辅助岗位服务外包项目</w:t>
      </w:r>
    </w:p>
    <w:p w14:paraId="5DDDEE2A"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2、服务期为：三年（履约起止时间以合同签订时间为准）。合同试用期3个月，若服务商在试用期任何一个月考核不合格的则视为服务商违约，采购人有权终止合同。</w:t>
      </w:r>
    </w:p>
    <w:p w14:paraId="5E08576C"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3、项目采购预算：三年预算总金额为人民币79427258.00元。服务合同总金额用完或服务期满后合同自动终止。</w:t>
      </w:r>
    </w:p>
    <w:p w14:paraId="73CE7741"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4、采购人对服务外包人员在业务工作上进行指导和监督。</w:t>
      </w:r>
    </w:p>
    <w:p w14:paraId="73759E76"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5、报价应包括：服务人员工资、福利、</w:t>
      </w:r>
      <w:r>
        <w:rPr>
          <w:rFonts w:hint="eastAsia" w:ascii="宋体" w:hAnsi="宋体"/>
          <w:color w:val="auto"/>
          <w:highlight w:val="none"/>
        </w:rPr>
        <w:t>服装、</w:t>
      </w:r>
      <w:r>
        <w:rPr>
          <w:rFonts w:hint="eastAsia" w:ascii="宋体" w:hAnsi="宋体"/>
          <w:color w:val="auto"/>
          <w:szCs w:val="21"/>
          <w:highlight w:val="none"/>
        </w:rPr>
        <w:t>五险一金</w:t>
      </w:r>
      <w:r>
        <w:rPr>
          <w:rFonts w:hint="eastAsia" w:ascii="宋体" w:hAnsi="宋体" w:cs="仿宋"/>
          <w:color w:val="auto"/>
          <w:szCs w:val="21"/>
          <w:highlight w:val="none"/>
        </w:rPr>
        <w:t>（养老保险、医疗保险、工伤保险、失业保险、生育保险、住房公积金）</w:t>
      </w:r>
      <w:r>
        <w:rPr>
          <w:rFonts w:hint="eastAsia" w:ascii="宋体" w:hAnsi="宋体"/>
          <w:color w:val="auto"/>
          <w:szCs w:val="21"/>
          <w:highlight w:val="none"/>
        </w:rPr>
        <w:t>、</w:t>
      </w:r>
      <w:r>
        <w:rPr>
          <w:rFonts w:hint="eastAsia" w:ascii="宋体" w:hAnsi="宋体" w:cs="宋体"/>
          <w:color w:val="auto"/>
          <w:sz w:val="19"/>
          <w:szCs w:val="19"/>
          <w:highlight w:val="none"/>
        </w:rPr>
        <w:t>专项津贴、</w:t>
      </w:r>
      <w:r>
        <w:rPr>
          <w:rFonts w:hint="eastAsia" w:ascii="宋体" w:hAnsi="宋体"/>
          <w:color w:val="auto"/>
          <w:szCs w:val="21"/>
          <w:highlight w:val="none"/>
        </w:rPr>
        <w:t>各项税费、</w:t>
      </w:r>
      <w:r>
        <w:rPr>
          <w:rFonts w:hint="eastAsia" w:ascii="宋体" w:hAnsi="宋体" w:cs="宋体"/>
          <w:color w:val="auto"/>
          <w:sz w:val="19"/>
          <w:szCs w:val="19"/>
          <w:highlight w:val="none"/>
        </w:rPr>
        <w:t>政策性费用、</w:t>
      </w:r>
      <w:r>
        <w:rPr>
          <w:rFonts w:hint="eastAsia" w:ascii="宋体" w:hAnsi="宋体"/>
          <w:color w:val="auto"/>
          <w:szCs w:val="21"/>
          <w:highlight w:val="none"/>
        </w:rPr>
        <w:t>运营成本（包括管理费用、财务费用等）等本项目实施的所有费用及合理利润。</w:t>
      </w:r>
    </w:p>
    <w:p w14:paraId="65B4F7BB"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 xml:space="preserve">6、 </w:t>
      </w:r>
      <w:r>
        <w:rPr>
          <w:rFonts w:hint="eastAsia" w:ascii="宋体" w:hAnsi="宋体"/>
          <w:color w:val="auto"/>
          <w:szCs w:val="21"/>
          <w:highlight w:val="none"/>
        </w:rPr>
        <w:t>响应文件需列明每个服务人员的具体费用，以及第</w:t>
      </w:r>
      <w:r>
        <w:rPr>
          <w:rFonts w:ascii="宋体" w:hAnsi="宋体"/>
          <w:color w:val="auto"/>
          <w:szCs w:val="21"/>
          <w:highlight w:val="none"/>
        </w:rPr>
        <w:t>1年、第2年、第3年服务费年度小计，三年汇总金额作为总报价。</w:t>
      </w:r>
    </w:p>
    <w:p w14:paraId="5963D01B"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/>
          <w:b/>
          <w:color w:val="auto"/>
          <w:sz w:val="24"/>
          <w:szCs w:val="21"/>
          <w:highlight w:val="none"/>
        </w:rPr>
      </w:pPr>
    </w:p>
    <w:p w14:paraId="2E89B5A6"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/>
          <w:b/>
          <w:color w:val="auto"/>
          <w:sz w:val="24"/>
          <w:szCs w:val="21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1"/>
          <w:highlight w:val="none"/>
        </w:rPr>
        <w:t>二、辅助岗位服务内容</w:t>
      </w:r>
    </w:p>
    <w:p w14:paraId="6426C2B6"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一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医疗辅助岗位</w:t>
      </w:r>
    </w:p>
    <w:p w14:paraId="1ACB17A0">
      <w:pPr>
        <w:widowControl/>
        <w:numPr>
          <w:ilvl w:val="0"/>
          <w:numId w:val="1"/>
        </w:numPr>
        <w:tabs>
          <w:tab w:val="left" w:pos="424"/>
          <w:tab w:val="left" w:pos="3240"/>
        </w:tabs>
        <w:spacing w:line="460" w:lineRule="exact"/>
        <w:jc w:val="left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协助医生完成医疗相关</w:t>
      </w:r>
      <w:r>
        <w:rPr>
          <w:rFonts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咨询、诊疗、服务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等常规性的医疗诊疗工作，</w:t>
      </w:r>
      <w:r>
        <w:rPr>
          <w:rFonts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并确保医疗安全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；</w:t>
      </w:r>
    </w:p>
    <w:p w14:paraId="7F0B308D">
      <w:pPr>
        <w:widowControl/>
        <w:numPr>
          <w:ilvl w:val="0"/>
          <w:numId w:val="1"/>
        </w:numPr>
        <w:tabs>
          <w:tab w:val="left" w:pos="424"/>
          <w:tab w:val="left" w:pos="3240"/>
        </w:tabs>
        <w:spacing w:line="460" w:lineRule="exact"/>
        <w:jc w:val="left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协助医生</w:t>
      </w:r>
      <w:r>
        <w:rPr>
          <w:rFonts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范书写医疗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文书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，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并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完成相关的整理工作；</w:t>
      </w:r>
    </w:p>
    <w:p w14:paraId="203F5F2D">
      <w:pPr>
        <w:widowControl/>
        <w:numPr>
          <w:ilvl w:val="0"/>
          <w:numId w:val="1"/>
        </w:numPr>
        <w:tabs>
          <w:tab w:val="left" w:pos="424"/>
          <w:tab w:val="left" w:pos="3240"/>
        </w:tabs>
        <w:spacing w:line="460" w:lineRule="exact"/>
        <w:jc w:val="left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完成上级交办的其他工作。</w:t>
      </w:r>
    </w:p>
    <w:p w14:paraId="7ABC24AC">
      <w:pPr>
        <w:widowControl/>
        <w:numPr>
          <w:ilvl w:val="-1"/>
          <w:numId w:val="0"/>
        </w:numPr>
        <w:tabs>
          <w:tab w:val="left" w:pos="424"/>
          <w:tab w:val="left" w:pos="3240"/>
        </w:tabs>
        <w:spacing w:line="460" w:lineRule="exact"/>
        <w:jc w:val="left"/>
        <w:rPr>
          <w:rFonts w:hint="default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（二）药剂辅助岗位</w:t>
      </w:r>
    </w:p>
    <w:p w14:paraId="1FDDFE83">
      <w:pPr>
        <w:widowControl/>
        <w:numPr>
          <w:ilvl w:val="-1"/>
          <w:numId w:val="0"/>
        </w:numPr>
        <w:tabs>
          <w:tab w:val="left" w:pos="424"/>
          <w:tab w:val="left" w:pos="3240"/>
        </w:tabs>
        <w:spacing w:line="460" w:lineRule="exact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1、协助药师审核处方，药品调配、药品发放、库存管理、患者教育等常规性的内容；</w:t>
      </w:r>
    </w:p>
    <w:p w14:paraId="6F3612F9">
      <w:pPr>
        <w:widowControl/>
        <w:numPr>
          <w:ilvl w:val="-1"/>
          <w:numId w:val="0"/>
        </w:numPr>
        <w:tabs>
          <w:tab w:val="left" w:pos="424"/>
          <w:tab w:val="left" w:pos="3240"/>
        </w:tabs>
        <w:spacing w:line="460" w:lineRule="exact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2、协助质量负责人做好日常质量管理工作的监督指导，负责相关的质量记录、档案的及时更新、归档工作，以及每月检查并更新相关质量文件并有效归档。</w:t>
      </w:r>
    </w:p>
    <w:p w14:paraId="5DB8DD34">
      <w:pPr>
        <w:widowControl/>
        <w:numPr>
          <w:ilvl w:val="-1"/>
          <w:numId w:val="0"/>
        </w:numPr>
        <w:tabs>
          <w:tab w:val="left" w:pos="424"/>
          <w:tab w:val="left" w:pos="3240"/>
        </w:tabs>
        <w:spacing w:line="460" w:lineRule="exact"/>
        <w:jc w:val="left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3、完成上级交办的其他工作。</w:t>
      </w:r>
    </w:p>
    <w:p w14:paraId="2D0C2700"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三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护理辅助岗位</w:t>
      </w:r>
    </w:p>
    <w:p w14:paraId="697194BB"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hint="default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1、协助护士完成常规性的护理活动；</w:t>
      </w:r>
    </w:p>
    <w:p w14:paraId="1B61D7FD">
      <w:pPr>
        <w:pStyle w:val="2"/>
        <w:rPr>
          <w:rFonts w:hint="eastAsia" w:cs="Times New Roman"/>
          <w:b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cs="Times New Roman"/>
          <w:b w:val="0"/>
          <w:color w:val="auto"/>
          <w:sz w:val="21"/>
          <w:szCs w:val="21"/>
          <w:highlight w:val="none"/>
          <w:lang w:val="en-US" w:eastAsia="zh-CN"/>
        </w:rPr>
        <w:t>2、协助医生完成常规的检查活动；</w:t>
      </w:r>
    </w:p>
    <w:p w14:paraId="2692F6AE">
      <w:pPr>
        <w:rPr>
          <w:rFonts w:hint="eastAsia"/>
          <w:color w:val="auto"/>
          <w:szCs w:val="21"/>
          <w:highlight w:val="none"/>
          <w:lang w:val="en-US" w:eastAsia="zh-CN"/>
        </w:rPr>
      </w:pPr>
      <w:r>
        <w:rPr>
          <w:rFonts w:hint="eastAsia"/>
          <w:color w:val="auto"/>
          <w:szCs w:val="21"/>
          <w:highlight w:val="none"/>
          <w:lang w:val="en-US" w:eastAsia="zh-CN"/>
        </w:rPr>
        <w:t>3、协助护士完成预检、导诊、分诊服务；</w:t>
      </w:r>
    </w:p>
    <w:p w14:paraId="7B5C54A0">
      <w:pPr>
        <w:widowControl/>
        <w:numPr>
          <w:ilvl w:val="0"/>
          <w:numId w:val="1"/>
        </w:numPr>
        <w:tabs>
          <w:tab w:val="left" w:pos="424"/>
          <w:tab w:val="left" w:pos="3240"/>
        </w:tabs>
        <w:spacing w:line="460" w:lineRule="exact"/>
        <w:jc w:val="left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完成上级交办的其他工作。</w:t>
      </w:r>
    </w:p>
    <w:p w14:paraId="74AFAFFC">
      <w:pPr>
        <w:pStyle w:val="2"/>
        <w:numPr>
          <w:ilvl w:val="0"/>
          <w:numId w:val="2"/>
        </w:numPr>
        <w:rPr>
          <w:rFonts w:hint="eastAsia" w:cs="Times New Roman"/>
          <w:b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cs="Times New Roman"/>
          <w:b w:val="0"/>
          <w:color w:val="auto"/>
          <w:sz w:val="21"/>
          <w:szCs w:val="21"/>
          <w:highlight w:val="none"/>
          <w:lang w:val="en-US" w:eastAsia="zh-CN"/>
        </w:rPr>
        <w:t>医技助理岗位</w:t>
      </w:r>
    </w:p>
    <w:p w14:paraId="5C86E97C">
      <w:pPr>
        <w:numPr>
          <w:ilvl w:val="0"/>
          <w:numId w:val="3"/>
        </w:numPr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协助完成医学影像、医学检验、电生理及五官检测等检验、检查服务，并协助完成检验、检查结果的归档工作；</w:t>
      </w:r>
    </w:p>
    <w:p w14:paraId="5EAF9963">
      <w:pPr>
        <w:numPr>
          <w:ilvl w:val="0"/>
          <w:numId w:val="3"/>
        </w:numPr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协助完成康复治疗、睡眠治疗等相关的治疗服务；</w:t>
      </w:r>
    </w:p>
    <w:p w14:paraId="625FEEB9">
      <w:pPr>
        <w:widowControl/>
        <w:numPr>
          <w:ilvl w:val="0"/>
          <w:numId w:val="3"/>
        </w:numPr>
        <w:tabs>
          <w:tab w:val="left" w:pos="424"/>
          <w:tab w:val="left" w:pos="3240"/>
        </w:tabs>
        <w:spacing w:line="460" w:lineRule="exact"/>
        <w:jc w:val="left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完成上级交办的其他工作。</w:t>
      </w:r>
    </w:p>
    <w:p w14:paraId="6011E3C8">
      <w:pPr>
        <w:widowControl/>
        <w:numPr>
          <w:ilvl w:val="0"/>
          <w:numId w:val="2"/>
        </w:numPr>
        <w:tabs>
          <w:tab w:val="left" w:pos="424"/>
          <w:tab w:val="left" w:pos="3240"/>
        </w:tabs>
        <w:spacing w:line="460" w:lineRule="exact"/>
        <w:jc w:val="left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文员岗位</w:t>
      </w:r>
    </w:p>
    <w:p w14:paraId="7EE6990A">
      <w:pPr>
        <w:widowControl/>
        <w:numPr>
          <w:ilvl w:val="0"/>
          <w:numId w:val="4"/>
        </w:numPr>
        <w:tabs>
          <w:tab w:val="left" w:pos="424"/>
          <w:tab w:val="left" w:pos="3240"/>
        </w:tabs>
        <w:spacing w:line="460" w:lineRule="exact"/>
        <w:jc w:val="left"/>
        <w:rPr>
          <w:rFonts w:hint="default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协助完成日常行政事务；</w:t>
      </w:r>
    </w:p>
    <w:p w14:paraId="656BA525">
      <w:pPr>
        <w:widowControl/>
        <w:numPr>
          <w:ilvl w:val="0"/>
          <w:numId w:val="4"/>
        </w:numPr>
        <w:tabs>
          <w:tab w:val="left" w:pos="424"/>
          <w:tab w:val="left" w:pos="3240"/>
        </w:tabs>
        <w:spacing w:line="460" w:lineRule="exact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协助编辑、整理、归档、管理各类文书资料；</w:t>
      </w:r>
    </w:p>
    <w:p w14:paraId="6DF8E150">
      <w:pPr>
        <w:widowControl/>
        <w:numPr>
          <w:ilvl w:val="-1"/>
          <w:numId w:val="0"/>
        </w:numPr>
        <w:tabs>
          <w:tab w:val="left" w:pos="424"/>
          <w:tab w:val="left" w:pos="3240"/>
        </w:tabs>
        <w:spacing w:line="460" w:lineRule="exact"/>
        <w:jc w:val="left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3、完成上级交办的其他工作。</w:t>
      </w:r>
    </w:p>
    <w:p w14:paraId="4AA15D80">
      <w:pPr>
        <w:pStyle w:val="2"/>
        <w:numPr>
          <w:ilvl w:val="0"/>
          <w:numId w:val="2"/>
        </w:numPr>
        <w:rPr>
          <w:rFonts w:hint="eastAsia" w:cs="Times New Roman"/>
          <w:b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cs="Times New Roman"/>
          <w:b w:val="0"/>
          <w:color w:val="auto"/>
          <w:sz w:val="21"/>
          <w:szCs w:val="21"/>
          <w:highlight w:val="none"/>
          <w:lang w:val="en-US" w:eastAsia="zh-CN"/>
        </w:rPr>
        <w:t>后勤技术岗位</w:t>
      </w:r>
    </w:p>
    <w:p w14:paraId="466135C6">
      <w:pPr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1、协助完成但不限于收费、仓库管理、物资配送、锅炉、水、电、消防安全、污水处理等医院后勤服务工作；</w:t>
      </w:r>
    </w:p>
    <w:p w14:paraId="64DB1370">
      <w:pPr>
        <w:widowControl/>
        <w:numPr>
          <w:ilvl w:val="0"/>
          <w:numId w:val="0"/>
        </w:numPr>
        <w:tabs>
          <w:tab w:val="left" w:pos="424"/>
          <w:tab w:val="left" w:pos="3240"/>
        </w:tabs>
        <w:spacing w:line="460" w:lineRule="exact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2、完成上级交办的其他工作。</w:t>
      </w:r>
    </w:p>
    <w:p w14:paraId="5CCB5C74"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/>
          <w:b/>
          <w:color w:val="auto"/>
          <w:sz w:val="24"/>
          <w:szCs w:val="21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1"/>
          <w:highlight w:val="none"/>
        </w:rPr>
        <w:t>三、人员配置</w:t>
      </w:r>
    </w:p>
    <w:p w14:paraId="297A864B"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1、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服务人员要求</w:t>
      </w:r>
    </w:p>
    <w:p w14:paraId="39AA52C2">
      <w:pPr>
        <w:widowControl/>
        <w:tabs>
          <w:tab w:val="left" w:pos="424"/>
          <w:tab w:val="left" w:pos="3240"/>
        </w:tabs>
        <w:spacing w:line="460" w:lineRule="exact"/>
        <w:rPr>
          <w:rFonts w:ascii="宋体" w:hAnsi="宋体"/>
          <w:color w:val="auto"/>
          <w:szCs w:val="21"/>
          <w:highlight w:val="none"/>
          <w:lang w:bidi="ar"/>
        </w:rPr>
      </w:pPr>
      <w:r>
        <w:rPr>
          <w:rFonts w:hint="eastAsia" w:ascii="宋体" w:hAnsi="宋体"/>
          <w:color w:val="auto"/>
          <w:szCs w:val="21"/>
          <w:highlight w:val="none"/>
          <w:lang w:bidi="ar"/>
        </w:rPr>
        <w:t>（1）服务人员遵纪守法，遵守医院各项规章制度和管理规程，服从和执行采购人的工作安排及调度，接受采购人的检查监督。</w:t>
      </w:r>
    </w:p>
    <w:p w14:paraId="5D622CBE">
      <w:pPr>
        <w:widowControl/>
        <w:tabs>
          <w:tab w:val="left" w:pos="424"/>
          <w:tab w:val="left" w:pos="3240"/>
        </w:tabs>
        <w:spacing w:line="460" w:lineRule="exact"/>
        <w:rPr>
          <w:rFonts w:ascii="宋体" w:hAnsi="宋体"/>
          <w:color w:val="auto"/>
          <w:szCs w:val="21"/>
          <w:highlight w:val="none"/>
          <w:lang w:bidi="ar"/>
        </w:rPr>
      </w:pPr>
      <w:r>
        <w:rPr>
          <w:rFonts w:hint="eastAsia" w:ascii="宋体" w:hAnsi="宋体"/>
          <w:color w:val="auto"/>
          <w:szCs w:val="21"/>
          <w:highlight w:val="none"/>
          <w:lang w:bidi="ar"/>
        </w:rPr>
        <w:t>（</w:t>
      </w:r>
      <w:r>
        <w:rPr>
          <w:rFonts w:ascii="宋体" w:hAnsi="宋体"/>
          <w:color w:val="auto"/>
          <w:szCs w:val="21"/>
          <w:highlight w:val="none"/>
          <w:lang w:bidi="ar"/>
        </w:rPr>
        <w:t>2</w:t>
      </w:r>
      <w:r>
        <w:rPr>
          <w:rFonts w:hint="eastAsia" w:ascii="宋体" w:hAnsi="宋体"/>
          <w:color w:val="auto"/>
          <w:szCs w:val="21"/>
          <w:highlight w:val="none"/>
          <w:lang w:bidi="ar"/>
        </w:rPr>
        <w:t>）服务人员具有较强的责任心、沟通表达能力、应变能力，工作积极主动，吃苦耐劳，有团队协作意识，服从管理。</w:t>
      </w:r>
    </w:p>
    <w:p w14:paraId="354557B5">
      <w:pPr>
        <w:widowControl/>
        <w:tabs>
          <w:tab w:val="left" w:pos="424"/>
          <w:tab w:val="left" w:pos="3240"/>
        </w:tabs>
        <w:spacing w:line="460" w:lineRule="exact"/>
        <w:rPr>
          <w:rFonts w:ascii="宋体" w:hAnsi="宋体"/>
          <w:color w:val="auto"/>
          <w:szCs w:val="21"/>
          <w:highlight w:val="none"/>
          <w:lang w:bidi="ar"/>
        </w:rPr>
      </w:pPr>
      <w:r>
        <w:rPr>
          <w:rFonts w:hint="eastAsia" w:ascii="宋体" w:hAnsi="宋体"/>
          <w:color w:val="auto"/>
          <w:szCs w:val="21"/>
          <w:highlight w:val="none"/>
          <w:lang w:bidi="ar"/>
        </w:rPr>
        <w:t xml:space="preserve">（3）服务人员须具有与所在岗位相匹配的扎实专业理论基础和实践技能，胜任本职工作。 </w:t>
      </w:r>
    </w:p>
    <w:p w14:paraId="4C064586">
      <w:pPr>
        <w:pStyle w:val="22"/>
        <w:widowControl/>
        <w:tabs>
          <w:tab w:val="left" w:pos="315"/>
          <w:tab w:val="left" w:pos="426"/>
          <w:tab w:val="left" w:pos="993"/>
          <w:tab w:val="left" w:pos="1592"/>
        </w:tabs>
        <w:snapToGrid w:val="0"/>
        <w:spacing w:line="460" w:lineRule="exact"/>
        <w:ind w:right="-237" w:firstLine="0" w:firstLineChars="0"/>
        <w:jc w:val="left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bidi="ar"/>
        </w:rPr>
        <w:t>（4）</w:t>
      </w:r>
      <w:r>
        <w:rPr>
          <w:rFonts w:hint="eastAsia" w:ascii="宋体" w:hAnsi="宋体"/>
          <w:color w:val="auto"/>
          <w:szCs w:val="21"/>
          <w:highlight w:val="none"/>
        </w:rPr>
        <w:t>服务人员工作时间：每周工作40小时。</w:t>
      </w:r>
      <w:r>
        <w:rPr>
          <w:rFonts w:hint="eastAsia" w:ascii="宋体" w:hAnsi="宋体"/>
          <w:color w:val="auto"/>
          <w:highlight w:val="none"/>
        </w:rPr>
        <w:t>节假日按国家法定假期休息，因工作需要不能安排休息的则由科室安排调休。</w:t>
      </w:r>
      <w:r>
        <w:rPr>
          <w:rFonts w:hint="eastAsia" w:ascii="宋体" w:hAnsi="宋体" w:cs="仿宋"/>
          <w:color w:val="auto"/>
          <w:szCs w:val="21"/>
          <w:highlight w:val="none"/>
        </w:rPr>
        <w:t>如</w:t>
      </w:r>
      <w:r>
        <w:rPr>
          <w:rFonts w:hint="eastAsia"/>
          <w:color w:val="auto"/>
          <w:szCs w:val="21"/>
          <w:highlight w:val="none"/>
        </w:rPr>
        <w:t>因特殊情况或工作要求</w:t>
      </w:r>
      <w:r>
        <w:rPr>
          <w:rFonts w:hint="eastAsia" w:ascii="宋体" w:hAnsi="宋体"/>
          <w:color w:val="auto"/>
          <w:highlight w:val="none"/>
        </w:rPr>
        <w:t>需</w:t>
      </w:r>
      <w:r>
        <w:rPr>
          <w:rFonts w:hint="eastAsia"/>
          <w:color w:val="auto"/>
          <w:szCs w:val="21"/>
          <w:highlight w:val="none"/>
        </w:rPr>
        <w:t>承担加班、外派等工作的，服务</w:t>
      </w:r>
      <w:r>
        <w:rPr>
          <w:rFonts w:hint="eastAsia" w:ascii="宋体" w:hAnsi="宋体"/>
          <w:color w:val="auto"/>
          <w:highlight w:val="none"/>
        </w:rPr>
        <w:t>人员须服从采购人的安排。</w:t>
      </w:r>
    </w:p>
    <w:p w14:paraId="3341DD5B">
      <w:pPr>
        <w:pStyle w:val="22"/>
        <w:widowControl/>
        <w:tabs>
          <w:tab w:val="left" w:pos="315"/>
          <w:tab w:val="left" w:pos="426"/>
          <w:tab w:val="left" w:pos="993"/>
          <w:tab w:val="left" w:pos="1592"/>
        </w:tabs>
        <w:snapToGrid w:val="0"/>
        <w:spacing w:line="460" w:lineRule="exact"/>
        <w:ind w:right="-237" w:firstLine="0" w:firstLineChars="0"/>
        <w:jc w:val="left"/>
        <w:rPr>
          <w:rFonts w:ascii="宋体" w:hAnsi="宋体" w:cs="仿宋"/>
          <w:color w:val="auto"/>
          <w:szCs w:val="21"/>
          <w:highlight w:val="none"/>
          <w:lang w:bidi="ar-SA"/>
        </w:rPr>
      </w:pPr>
      <w:r>
        <w:rPr>
          <w:rFonts w:hint="eastAsia" w:ascii="宋体" w:hAnsi="宋体"/>
          <w:color w:val="auto"/>
          <w:highlight w:val="none"/>
        </w:rPr>
        <w:t>（5）</w:t>
      </w:r>
      <w:r>
        <w:rPr>
          <w:rFonts w:hint="eastAsia" w:ascii="宋体" w:hAnsi="宋体" w:cs="仿宋"/>
          <w:color w:val="auto"/>
          <w:szCs w:val="21"/>
          <w:highlight w:val="none"/>
        </w:rPr>
        <w:t>服务人员必须符合采购人的要求，</w:t>
      </w:r>
      <w:r>
        <w:rPr>
          <w:rFonts w:hint="eastAsia" w:ascii="宋体" w:hAnsi="宋体"/>
          <w:color w:val="auto"/>
          <w:szCs w:val="21"/>
          <w:highlight w:val="none"/>
        </w:rPr>
        <w:t>经采购人审核确认后方能上岗。</w:t>
      </w:r>
      <w:r>
        <w:rPr>
          <w:rFonts w:hint="eastAsia" w:ascii="宋体" w:hAnsi="宋体" w:cs="仿宋"/>
          <w:color w:val="auto"/>
          <w:szCs w:val="21"/>
          <w:highlight w:val="none"/>
        </w:rPr>
        <w:t>凡有违法违纪、作风品德恶劣、工作能力低下不能胜任者，或两次考核不合格的服务人员，采购人有权要求服务商更换，相关费用由服务商负担。</w:t>
      </w:r>
    </w:p>
    <w:p w14:paraId="408FF3F6">
      <w:pPr>
        <w:pStyle w:val="22"/>
        <w:widowControl/>
        <w:tabs>
          <w:tab w:val="left" w:pos="315"/>
          <w:tab w:val="left" w:pos="426"/>
          <w:tab w:val="left" w:pos="993"/>
          <w:tab w:val="left" w:pos="1592"/>
        </w:tabs>
        <w:snapToGrid w:val="0"/>
        <w:spacing w:line="460" w:lineRule="exact"/>
        <w:ind w:right="-237" w:firstLine="0" w:firstLineChars="0"/>
        <w:jc w:val="left"/>
        <w:rPr>
          <w:color w:val="auto"/>
          <w:highlight w:val="none"/>
          <w:lang w:bidi="ar"/>
        </w:rPr>
      </w:pPr>
    </w:p>
    <w:p w14:paraId="2A9FCB91"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/>
          <w:b/>
          <w:bCs/>
          <w:color w:val="auto"/>
          <w:sz w:val="21"/>
          <w:szCs w:val="21"/>
          <w:highlight w:val="none"/>
          <w:lang w:bidi="ar"/>
        </w:rPr>
      </w:pPr>
      <w:r>
        <w:rPr>
          <w:rFonts w:ascii="宋体" w:hAnsi="宋体"/>
          <w:b/>
          <w:bCs/>
          <w:color w:val="auto"/>
          <w:sz w:val="21"/>
          <w:szCs w:val="21"/>
          <w:highlight w:val="none"/>
          <w:lang w:bidi="ar"/>
        </w:rPr>
        <w:t>2、岗位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bidi="ar"/>
        </w:rPr>
        <w:t>设置</w:t>
      </w:r>
    </w:p>
    <w:tbl>
      <w:tblPr>
        <w:tblStyle w:val="11"/>
        <w:tblW w:w="953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762"/>
        <w:gridCol w:w="956"/>
        <w:gridCol w:w="2551"/>
        <w:gridCol w:w="851"/>
        <w:gridCol w:w="850"/>
        <w:gridCol w:w="851"/>
      </w:tblGrid>
      <w:tr w14:paraId="5C554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04F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8B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岗位名称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66E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学历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5314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专业（技能）要求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9A9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第一年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8038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第二年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6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第三年</w:t>
            </w:r>
          </w:p>
        </w:tc>
      </w:tr>
      <w:tr w14:paraId="4D7CD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92B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E6A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医疗辅助岗位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C6F4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本科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5FD0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中医、中西医、临床医学相关专业，持执业医师资格证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450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CF9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585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24</w:t>
            </w:r>
          </w:p>
        </w:tc>
      </w:tr>
      <w:tr w14:paraId="4DD3B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668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BE7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医疗辅助岗位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A801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硕士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70D1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中医、中西医、临床医学相关专业，持执业医师资格证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861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392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370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</w:tr>
      <w:tr w14:paraId="63627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4120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32AA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药剂辅助岗位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BEE2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大学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654A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中药学、药学专业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260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EFCC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E49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</w:tr>
      <w:tr w14:paraId="25868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5A8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0259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护理辅助岗位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0E68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大专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D806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持护士执业资格证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0C9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48E4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DEA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49</w:t>
            </w:r>
          </w:p>
        </w:tc>
      </w:tr>
      <w:tr w14:paraId="3602B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D927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E0B0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护理辅助岗位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53E7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大学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5AB0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持护士执业资格证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7EA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246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E712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6DE86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592F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D14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护理辅助岗位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7A0C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硕士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272B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持护士执业资格证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FD1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05C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F22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</w:tr>
      <w:tr w14:paraId="611FF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F706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609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医技助理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32AA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大学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9199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临床医学专业，持专业技术资格证、技能上岗证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931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D88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CB8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104</w:t>
            </w:r>
          </w:p>
        </w:tc>
      </w:tr>
      <w:tr w14:paraId="03F83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916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573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文员（行政后勤管理方向）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6C89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大专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51A4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行政管理、财务、人力资源，公共事业管理、信息技术、设备维修、医疗相关专业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42A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DC5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F0A4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</w:tr>
      <w:tr w14:paraId="44C66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B242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9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DCB2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文员（行政后勤管理方向）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34D0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大学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6210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行政管理、财务、人力资源，公共事业管理、信息技术、设备维修、医疗相关专业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E36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FA0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091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23</w:t>
            </w:r>
          </w:p>
        </w:tc>
      </w:tr>
      <w:tr w14:paraId="6CF0E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A29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2FB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文员（行政后勤管理方向）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1E60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硕士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9973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行政管理、财务、人力资源，公共事业管理、信息技术、设备维修、医疗相关专业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534C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58E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949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1A7DF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9FD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11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01D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文员（科室文秘方向）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A9EE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大专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DAE7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医疗相关专业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FF1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88C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56A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</w:tr>
      <w:tr w14:paraId="37425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95A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93B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文员（科室文秘方向）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0C41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大学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3DE1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医疗相关专业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90A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29D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65BE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24</w:t>
            </w:r>
          </w:p>
        </w:tc>
      </w:tr>
      <w:tr w14:paraId="62AAB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E73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13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E8D0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文员（咨询服务方向）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A82C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大专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E4DD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医疗相关专业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65A2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30A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0D40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3338D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1FB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CCE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文员（咨询服务方向）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CFE0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大学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D733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医疗相关专业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31B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736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9F0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</w:tr>
      <w:tr w14:paraId="6480C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F84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3531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会计员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3A11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大学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E898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财务相关专业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216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824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DD7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</w:tr>
      <w:tr w14:paraId="3B0C6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D31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16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BA2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物价员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DCB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大学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8CBC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财务相关专业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84C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96B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D4E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</w:tr>
      <w:tr w14:paraId="7FFF5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358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17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5DC6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仓库管理员（设备）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E161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不限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6AB9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专业不限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92E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84A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634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</w:tr>
      <w:tr w14:paraId="5264E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71A8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18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BAD2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仓库管理员（药剂）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3F0F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不限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19D6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专业不限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EC2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27BC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2D2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</w:tr>
      <w:tr w14:paraId="331B0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0DC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19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A9F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仓库管理员（后勤）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712A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不限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DDBE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专业不限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D45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AA9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DA1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</w:tr>
      <w:tr w14:paraId="54A45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A132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B0E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配送员（后勤）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5B59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不限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A6E9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专业不限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94B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A6E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617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</w:tr>
      <w:tr w14:paraId="0A641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956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21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53D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配送员（设备）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084E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不限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6AA4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专业不限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E1C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456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F08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</w:tr>
      <w:tr w14:paraId="54FDB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F89C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22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99F9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配送员（药剂）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F123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不限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15C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专业不限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EB7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307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C39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</w:tr>
      <w:tr w14:paraId="6C3E8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422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23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9F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收费员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1B84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大专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1681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财务相关专业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773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308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A7F7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</w:tr>
      <w:tr w14:paraId="5012E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9A1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24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6A7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外包项目监督员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1089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不限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D59C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专业不限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876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7F83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6AF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</w:tr>
      <w:tr w14:paraId="68404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87E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25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059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宿舍管理员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9438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不限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A33D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专业不限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8A04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C01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30F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</w:tr>
      <w:tr w14:paraId="26547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1D6A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26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1A9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技术工人（锅炉工）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FB6C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不限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98EF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持锅炉安全操作（管理）上岗证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3D1D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3F8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3A7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</w:tr>
      <w:tr w14:paraId="48EAC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6CFB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27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7D6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技术工人（司机）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E2FC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不限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EE63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持A类驾驶证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A9A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B1BE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9D0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</w:tr>
      <w:tr w14:paraId="5805F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1ED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28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E09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技术工人（电工）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FCA8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不限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9D70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持高级电工上岗证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CD2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83F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AF0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</w:tr>
      <w:tr w14:paraId="5B980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675C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29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DC3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技术工人（污水处理）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D594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不限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27CF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持污水处理上岗证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1A9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E456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332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</w:tr>
      <w:tr w14:paraId="60E08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374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E45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技术工人（氧气工）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2EEC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不限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67BB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持有氧气设备安全作业（管理）证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EE9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129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3D0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</w:tr>
      <w:tr w14:paraId="18187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8B1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31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17C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消毒员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EC0A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大专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DBB8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卫生技术相关专业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6C3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ED1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46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4</w:t>
            </w:r>
          </w:p>
        </w:tc>
      </w:tr>
      <w:tr w14:paraId="20A6D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8AE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32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074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消防管理员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07AA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不限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CAD3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消防设施操作员证或建（构）筑消防员资格证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CEA0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D45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3D8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</w:tr>
    </w:tbl>
    <w:p w14:paraId="7CC73065">
      <w:pPr>
        <w:pStyle w:val="22"/>
        <w:widowControl/>
        <w:tabs>
          <w:tab w:val="left" w:pos="315"/>
          <w:tab w:val="left" w:pos="426"/>
          <w:tab w:val="left" w:pos="993"/>
          <w:tab w:val="left" w:pos="1592"/>
        </w:tabs>
        <w:snapToGrid w:val="0"/>
        <w:spacing w:line="460" w:lineRule="exact"/>
        <w:ind w:right="-237" w:firstLine="0" w:firstLineChars="0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仿宋"/>
          <w:b/>
          <w:color w:val="auto"/>
          <w:szCs w:val="21"/>
          <w:highlight w:val="none"/>
        </w:rPr>
        <w:t>注：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1、岗位及岗位人数为计划服务人数，采购人有权按实际需要合理调整岗位、人数、服务人员需求，并根据实际情况支付相应的服务费用。</w:t>
      </w:r>
    </w:p>
    <w:p w14:paraId="32E392D3">
      <w:pPr>
        <w:pStyle w:val="22"/>
        <w:widowControl/>
        <w:tabs>
          <w:tab w:val="left" w:pos="315"/>
          <w:tab w:val="left" w:pos="426"/>
          <w:tab w:val="left" w:pos="993"/>
          <w:tab w:val="left" w:pos="1592"/>
        </w:tabs>
        <w:snapToGrid w:val="0"/>
        <w:spacing w:line="460" w:lineRule="exact"/>
        <w:ind w:right="-237" w:firstLine="0" w:firstLineChars="0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2、为提高服务人员工作积极性，更好地完成岗位工作，除常规待遇福利外，采购人根据不同岗位设立有专项津贴，对于有额外贡献的服务人员进行奖励，如加班、节假日值班、外派工作等，专项津贴的发放规则由采购人根据实际情况制订。</w:t>
      </w:r>
    </w:p>
    <w:p w14:paraId="50FA5865">
      <w:pPr>
        <w:pStyle w:val="22"/>
        <w:widowControl/>
        <w:tabs>
          <w:tab w:val="left" w:pos="315"/>
          <w:tab w:val="left" w:pos="426"/>
          <w:tab w:val="left" w:pos="993"/>
          <w:tab w:val="left" w:pos="1592"/>
        </w:tabs>
        <w:snapToGrid w:val="0"/>
        <w:spacing w:line="460" w:lineRule="exact"/>
        <w:ind w:right="-237" w:firstLine="0" w:firstLineChars="0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3、</w:t>
      </w:r>
      <w:r>
        <w:rPr>
          <w:rFonts w:hint="eastAsia" w:ascii="宋体" w:hAnsi="宋体" w:cs="宋体"/>
          <w:b w:val="0"/>
          <w:color w:val="auto"/>
          <w:kern w:val="0"/>
          <w:szCs w:val="21"/>
          <w:highlight w:val="none"/>
        </w:rPr>
        <w:t>以上岗位原则上要求应聘年龄不超过</w:t>
      </w:r>
      <w:r>
        <w:rPr>
          <w:rFonts w:ascii="宋体" w:hAnsi="宋体" w:cs="宋体"/>
          <w:b w:val="0"/>
          <w:color w:val="auto"/>
          <w:kern w:val="0"/>
          <w:szCs w:val="21"/>
          <w:highlight w:val="none"/>
        </w:rPr>
        <w:t>35岁，应聘人员条件特别优秀的，经采购人同意可适当放宽。</w:t>
      </w:r>
    </w:p>
    <w:p w14:paraId="0E19AFDD">
      <w:pPr>
        <w:pStyle w:val="22"/>
        <w:widowControl/>
        <w:tabs>
          <w:tab w:val="left" w:pos="315"/>
          <w:tab w:val="left" w:pos="426"/>
          <w:tab w:val="left" w:pos="993"/>
          <w:tab w:val="left" w:pos="1592"/>
        </w:tabs>
        <w:snapToGrid w:val="0"/>
        <w:spacing w:line="460" w:lineRule="exact"/>
        <w:ind w:right="-237" w:firstLine="0" w:firstLineChars="0"/>
        <w:jc w:val="left"/>
        <w:rPr>
          <w:rFonts w:ascii="宋体" w:hAnsi="宋体" w:cs="宋体"/>
          <w:b/>
          <w:bCs/>
          <w:color w:val="auto"/>
          <w:kern w:val="0"/>
          <w:szCs w:val="21"/>
          <w:highlight w:val="none"/>
        </w:rPr>
      </w:pPr>
    </w:p>
    <w:p w14:paraId="35E3AB6D"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/>
          <w:b/>
          <w:color w:val="auto"/>
          <w:sz w:val="24"/>
          <w:szCs w:val="21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1"/>
          <w:highlight w:val="none"/>
        </w:rPr>
        <w:t>四、项目要求</w:t>
      </w:r>
    </w:p>
    <w:p w14:paraId="792A9985">
      <w:pPr>
        <w:pStyle w:val="24"/>
        <w:widowControl/>
        <w:tabs>
          <w:tab w:val="left" w:pos="315"/>
          <w:tab w:val="left" w:pos="426"/>
          <w:tab w:val="left" w:pos="993"/>
          <w:tab w:val="left" w:pos="1134"/>
          <w:tab w:val="left" w:pos="1592"/>
        </w:tabs>
        <w:snapToGrid w:val="0"/>
        <w:spacing w:line="460" w:lineRule="exact"/>
        <w:ind w:right="-237" w:firstLine="0" w:firstLineChars="0"/>
        <w:rPr>
          <w:rFonts w:ascii="宋体" w:hAnsi="宋体" w:cs="仿宋"/>
          <w:color w:val="auto"/>
          <w:szCs w:val="21"/>
          <w:highlight w:val="none"/>
        </w:rPr>
      </w:pPr>
      <w:r>
        <w:rPr>
          <w:rFonts w:hint="eastAsia" w:ascii="宋体" w:hAnsi="宋体" w:cs="仿宋"/>
          <w:color w:val="auto"/>
          <w:szCs w:val="21"/>
          <w:highlight w:val="none"/>
        </w:rPr>
        <w:t>1、服务商须设专人负责日常事务管理和招聘工作，做</w:t>
      </w:r>
      <w:r>
        <w:rPr>
          <w:rFonts w:hint="eastAsia" w:ascii="宋体" w:hAnsi="宋体"/>
          <w:color w:val="auto"/>
          <w:szCs w:val="21"/>
          <w:highlight w:val="none"/>
        </w:rPr>
        <w:t>好针对本项目的日常招聘和应急方案，常规岗位1个月以内招聘到岗，特殊、紧急岗位15日以内招聘到岗，如有人员离岗，需提前一个月向采购人报备。</w:t>
      </w:r>
    </w:p>
    <w:p w14:paraId="01F86AB8">
      <w:pPr>
        <w:pStyle w:val="22"/>
        <w:widowControl/>
        <w:tabs>
          <w:tab w:val="left" w:pos="315"/>
          <w:tab w:val="left" w:pos="426"/>
          <w:tab w:val="left" w:pos="993"/>
          <w:tab w:val="left" w:pos="1592"/>
        </w:tabs>
        <w:snapToGrid w:val="0"/>
        <w:spacing w:line="460" w:lineRule="exact"/>
        <w:ind w:right="-237" w:firstLine="0" w:firstLineChars="0"/>
        <w:jc w:val="left"/>
        <w:rPr>
          <w:rFonts w:ascii="宋体" w:hAnsi="宋体" w:cs="仿宋"/>
          <w:color w:val="auto"/>
          <w:szCs w:val="21"/>
          <w:highlight w:val="none"/>
        </w:rPr>
      </w:pPr>
      <w:r>
        <w:rPr>
          <w:rFonts w:ascii="宋体" w:hAnsi="宋体" w:cs="仿宋"/>
          <w:color w:val="auto"/>
          <w:szCs w:val="21"/>
          <w:highlight w:val="none"/>
        </w:rPr>
        <w:t>2</w:t>
      </w:r>
      <w:r>
        <w:rPr>
          <w:rFonts w:hint="eastAsia" w:ascii="宋体" w:hAnsi="宋体" w:cs="仿宋"/>
          <w:color w:val="auto"/>
          <w:szCs w:val="21"/>
          <w:highlight w:val="none"/>
        </w:rPr>
        <w:t>、服务商负责服务人员的人员管理、继续教育、证书管理及更新等工作，并协助采购人对服务人员的工作安排、培训、日常考核。</w:t>
      </w:r>
    </w:p>
    <w:p w14:paraId="2DA0C114">
      <w:pPr>
        <w:pStyle w:val="22"/>
        <w:widowControl/>
        <w:tabs>
          <w:tab w:val="left" w:pos="315"/>
          <w:tab w:val="left" w:pos="426"/>
          <w:tab w:val="left" w:pos="993"/>
          <w:tab w:val="left" w:pos="1592"/>
        </w:tabs>
        <w:snapToGrid w:val="0"/>
        <w:spacing w:line="460" w:lineRule="exact"/>
        <w:ind w:right="-237" w:firstLine="0" w:firstLineChars="0"/>
        <w:jc w:val="left"/>
        <w:rPr>
          <w:rFonts w:ascii="宋体" w:hAnsi="宋体" w:cs="仿宋"/>
          <w:color w:val="auto"/>
          <w:szCs w:val="21"/>
          <w:highlight w:val="none"/>
        </w:rPr>
      </w:pPr>
      <w:r>
        <w:rPr>
          <w:rFonts w:hint="eastAsia" w:ascii="宋体" w:hAnsi="宋体" w:cs="仿宋"/>
          <w:color w:val="auto"/>
          <w:szCs w:val="21"/>
          <w:highlight w:val="none"/>
        </w:rPr>
        <w:t>3、服务商应每年为服务人员进行体检，以保证服务人员的健康状况符合所从事的工作要求，体检费用由服务商负担。</w:t>
      </w:r>
    </w:p>
    <w:p w14:paraId="6EFADA31"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 w:cs="仿宋"/>
          <w:color w:val="auto"/>
          <w:szCs w:val="21"/>
          <w:highlight w:val="none"/>
        </w:rPr>
      </w:pPr>
      <w:r>
        <w:rPr>
          <w:rFonts w:hint="eastAsia" w:ascii="宋体" w:hAnsi="宋体" w:cs="仿宋"/>
          <w:color w:val="auto"/>
          <w:szCs w:val="21"/>
          <w:highlight w:val="none"/>
        </w:rPr>
        <w:t>4、</w:t>
      </w:r>
      <w:r>
        <w:rPr>
          <w:rFonts w:hint="eastAsia" w:ascii="宋体" w:hAnsi="宋体"/>
          <w:color w:val="auto"/>
          <w:szCs w:val="21"/>
          <w:highlight w:val="none"/>
        </w:rPr>
        <w:t>服务商不得随意更换服务人员，如确需更换，</w:t>
      </w:r>
      <w:r>
        <w:rPr>
          <w:rFonts w:hint="eastAsia" w:ascii="宋体" w:hAnsi="宋体" w:cs="仿宋"/>
          <w:color w:val="auto"/>
          <w:szCs w:val="21"/>
          <w:highlight w:val="none"/>
        </w:rPr>
        <w:t>非特殊原因（伤、残、病、亡）应提前与采购人沟通有关调配事宜，拟调配人员须通过采购人的面试。除采购人要求更换外，更换服务人员的总数不能超过采购人需求总数的10%。</w:t>
      </w:r>
    </w:p>
    <w:p w14:paraId="17036382">
      <w:pPr>
        <w:pStyle w:val="22"/>
        <w:widowControl/>
        <w:tabs>
          <w:tab w:val="left" w:pos="315"/>
          <w:tab w:val="left" w:pos="426"/>
          <w:tab w:val="left" w:pos="993"/>
          <w:tab w:val="left" w:pos="1592"/>
        </w:tabs>
        <w:snapToGrid w:val="0"/>
        <w:spacing w:line="460" w:lineRule="exact"/>
        <w:ind w:right="-237" w:firstLine="0" w:firstLineChars="0"/>
        <w:jc w:val="left"/>
        <w:rPr>
          <w:rFonts w:cs="仿宋"/>
          <w:color w:val="auto"/>
          <w:szCs w:val="21"/>
          <w:highlight w:val="none"/>
        </w:rPr>
      </w:pPr>
      <w:r>
        <w:rPr>
          <w:rFonts w:ascii="宋体" w:hAnsi="宋体" w:cs="仿宋"/>
          <w:color w:val="auto"/>
          <w:sz w:val="21"/>
          <w:szCs w:val="21"/>
          <w:highlight w:val="none"/>
        </w:rPr>
        <w:t>5、</w:t>
      </w:r>
      <w:r>
        <w:rPr>
          <w:rFonts w:hint="eastAsia" w:ascii="宋体" w:hAnsi="宋体" w:cs="仿宋"/>
          <w:color w:val="auto"/>
          <w:szCs w:val="21"/>
          <w:highlight w:val="none"/>
        </w:rPr>
        <w:t xml:space="preserve">服务人员若发生病、伤、残、劳动合同终止（或解除）等情形（含安全、交通、防火、工伤和劳资纠纷等），均由服务商负责处理并承担所产生的经济补偿及其他一切相关费用。 </w:t>
      </w:r>
    </w:p>
    <w:p w14:paraId="4036F981">
      <w:pPr>
        <w:pStyle w:val="22"/>
        <w:widowControl/>
        <w:tabs>
          <w:tab w:val="left" w:pos="315"/>
          <w:tab w:val="left" w:pos="426"/>
          <w:tab w:val="left" w:pos="993"/>
          <w:tab w:val="left" w:pos="1592"/>
        </w:tabs>
        <w:snapToGrid w:val="0"/>
        <w:spacing w:line="460" w:lineRule="exact"/>
        <w:ind w:right="-237" w:firstLine="0" w:firstLineChars="0"/>
        <w:jc w:val="left"/>
        <w:rPr>
          <w:rFonts w:ascii="宋体" w:hAnsi="宋体" w:cs="仿宋"/>
          <w:color w:val="auto"/>
          <w:szCs w:val="21"/>
          <w:highlight w:val="none"/>
        </w:rPr>
      </w:pPr>
      <w:r>
        <w:rPr>
          <w:rFonts w:ascii="宋体" w:hAnsi="宋体" w:cs="仿宋"/>
          <w:color w:val="auto"/>
          <w:szCs w:val="21"/>
          <w:highlight w:val="none"/>
        </w:rPr>
        <w:t>6</w:t>
      </w:r>
      <w:r>
        <w:rPr>
          <w:rFonts w:hint="eastAsia" w:ascii="宋体" w:hAnsi="宋体" w:cs="仿宋"/>
          <w:color w:val="auto"/>
          <w:szCs w:val="21"/>
          <w:highlight w:val="none"/>
        </w:rPr>
        <w:t>、由于服务商管理不善，或因服务人员的过失给采购人或第三方造成损失的，由服务商应承担赔偿责任，采购人可配合服务商按有关规定对相关责任方进行追偿。</w:t>
      </w:r>
    </w:p>
    <w:p w14:paraId="211010F8">
      <w:pPr>
        <w:pStyle w:val="22"/>
        <w:widowControl/>
        <w:tabs>
          <w:tab w:val="left" w:pos="315"/>
          <w:tab w:val="left" w:pos="426"/>
          <w:tab w:val="left" w:pos="993"/>
          <w:tab w:val="left" w:pos="1592"/>
        </w:tabs>
        <w:snapToGrid w:val="0"/>
        <w:spacing w:line="460" w:lineRule="exact"/>
        <w:ind w:right="-237" w:firstLine="0" w:firstLineChars="0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 w:cs="仿宋"/>
          <w:color w:val="auto"/>
          <w:szCs w:val="21"/>
          <w:highlight w:val="none"/>
        </w:rPr>
        <w:t>7</w:t>
      </w:r>
      <w:r>
        <w:rPr>
          <w:rFonts w:hint="eastAsia" w:ascii="宋体" w:hAnsi="宋体" w:cs="仿宋"/>
          <w:color w:val="auto"/>
          <w:szCs w:val="21"/>
          <w:highlight w:val="none"/>
        </w:rPr>
        <w:t>、服务商应按国家、省、市有关法律法规与本项目的服务人员签订正式劳动合同，</w:t>
      </w:r>
      <w:r>
        <w:rPr>
          <w:rFonts w:hint="eastAsia" w:ascii="宋体" w:hAnsi="宋体"/>
          <w:color w:val="auto"/>
          <w:szCs w:val="21"/>
          <w:highlight w:val="none"/>
        </w:rPr>
        <w:t>负责服务人员的薪酬发放、</w:t>
      </w:r>
      <w:r>
        <w:rPr>
          <w:rFonts w:hint="eastAsia" w:ascii="宋体" w:hAnsi="宋体" w:cs="仿宋"/>
          <w:color w:val="auto"/>
          <w:szCs w:val="21"/>
          <w:highlight w:val="none"/>
        </w:rPr>
        <w:t>缴交社会保险和住房公积金、购买意外保险及办理个人所得税代扣代缴、</w:t>
      </w:r>
      <w:r>
        <w:rPr>
          <w:rFonts w:hint="eastAsia"/>
          <w:color w:val="auto"/>
          <w:szCs w:val="21"/>
          <w:highlight w:val="none"/>
        </w:rPr>
        <w:t>缴纳五险一金（养老保险、医疗保险、工伤保险、失业保险、生育保险、住房公积金）单位负担部分等事宜。如因国家或地方政策影响、经济环境变化造成包括基本工资在内的整体项目实施费用浮动风险，成本增加，须由服务商全部承担，</w:t>
      </w:r>
      <w:r>
        <w:rPr>
          <w:rFonts w:hint="eastAsia" w:ascii="宋体" w:hAnsi="宋体"/>
          <w:color w:val="auto"/>
          <w:szCs w:val="21"/>
          <w:highlight w:val="none"/>
        </w:rPr>
        <w:t>采购人不另外支付任何费用。</w:t>
      </w:r>
    </w:p>
    <w:p w14:paraId="2E205896">
      <w:pPr>
        <w:pStyle w:val="22"/>
        <w:widowControl/>
        <w:tabs>
          <w:tab w:val="left" w:pos="315"/>
          <w:tab w:val="left" w:pos="426"/>
          <w:tab w:val="left" w:pos="993"/>
          <w:tab w:val="left" w:pos="1592"/>
        </w:tabs>
        <w:snapToGrid w:val="0"/>
        <w:spacing w:line="460" w:lineRule="exact"/>
        <w:ind w:right="-237" w:firstLine="0" w:firstLineChars="0"/>
        <w:jc w:val="left"/>
        <w:rPr>
          <w:rFonts w:ascii="宋体" w:hAnsi="宋体" w:cs="仿宋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8、服务人员的</w:t>
      </w:r>
      <w:r>
        <w:rPr>
          <w:rFonts w:hint="eastAsia" w:ascii="宋体" w:hAnsi="宋体" w:cs="仿宋"/>
          <w:color w:val="auto"/>
          <w:szCs w:val="21"/>
          <w:highlight w:val="none"/>
        </w:rPr>
        <w:t>实发工资不得低于当年本市最低工资标准。服务商支付给员工的薪酬必须公开透明，</w:t>
      </w:r>
      <w:r>
        <w:rPr>
          <w:rFonts w:hint="eastAsia"/>
          <w:color w:val="auto"/>
          <w:szCs w:val="21"/>
          <w:highlight w:val="none"/>
        </w:rPr>
        <w:t>每月将本项目所有服务人员收入清单提交医院人事部门备案。</w:t>
      </w:r>
      <w:r>
        <w:rPr>
          <w:rFonts w:hint="eastAsia" w:ascii="宋体" w:hAnsi="宋体" w:cs="仿宋"/>
          <w:color w:val="auto"/>
          <w:szCs w:val="21"/>
          <w:highlight w:val="none"/>
        </w:rPr>
        <w:t>服务商不得无故扣减或变相扣减岗位人员的工资、奖金及其他福利，采购人有权核实服务商每个月支付的所有薪酬费用（包括所购买的社保等福利），如所支付的薪金不符合标准或支付的薪金账目有违法违规情况的，由服务商承担一切的法律责任或刑事责任。</w:t>
      </w:r>
    </w:p>
    <w:p w14:paraId="150C4AE8">
      <w:pPr>
        <w:pStyle w:val="22"/>
        <w:widowControl/>
        <w:tabs>
          <w:tab w:val="left" w:pos="315"/>
          <w:tab w:val="left" w:pos="426"/>
          <w:tab w:val="left" w:pos="993"/>
          <w:tab w:val="left" w:pos="1592"/>
        </w:tabs>
        <w:snapToGrid w:val="0"/>
        <w:spacing w:line="460" w:lineRule="exact"/>
        <w:ind w:right="-237" w:firstLine="0" w:firstLineChars="0"/>
        <w:jc w:val="left"/>
        <w:rPr>
          <w:rFonts w:ascii="宋体" w:hAnsi="宋体"/>
          <w:bCs/>
          <w:color w:val="auto"/>
          <w:highlight w:val="none"/>
        </w:rPr>
      </w:pPr>
      <w:r>
        <w:rPr>
          <w:rFonts w:hint="eastAsia" w:ascii="宋体" w:hAnsi="宋体" w:cs="仿宋"/>
          <w:color w:val="auto"/>
          <w:szCs w:val="21"/>
          <w:highlight w:val="none"/>
        </w:rPr>
        <w:t>9、</w:t>
      </w:r>
      <w:r>
        <w:rPr>
          <w:rFonts w:hint="eastAsia" w:ascii="宋体" w:hAnsi="宋体"/>
          <w:bCs/>
          <w:color w:val="auto"/>
          <w:highlight w:val="none"/>
        </w:rPr>
        <w:t>服务期内，如出现三期员工</w:t>
      </w:r>
      <w:r>
        <w:rPr>
          <w:rFonts w:ascii="宋体" w:hAnsi="宋体"/>
          <w:bCs/>
          <w:color w:val="auto"/>
          <w:highlight w:val="none"/>
        </w:rPr>
        <w:t>(孕期、产期、哺乳期)</w:t>
      </w:r>
      <w:r>
        <w:rPr>
          <w:rFonts w:hint="eastAsia" w:ascii="宋体" w:hAnsi="宋体"/>
          <w:bCs/>
          <w:color w:val="auto"/>
          <w:highlight w:val="none"/>
        </w:rPr>
        <w:t>的，采购人</w:t>
      </w:r>
      <w:r>
        <w:rPr>
          <w:rFonts w:ascii="宋体" w:hAnsi="宋体"/>
          <w:bCs/>
          <w:color w:val="auto"/>
          <w:highlight w:val="none"/>
        </w:rPr>
        <w:t>照常支付</w:t>
      </w:r>
      <w:r>
        <w:rPr>
          <w:rFonts w:hint="eastAsia" w:ascii="宋体" w:hAnsi="宋体"/>
          <w:bCs/>
          <w:color w:val="auto"/>
          <w:highlight w:val="none"/>
        </w:rPr>
        <w:t>该</w:t>
      </w:r>
      <w:r>
        <w:rPr>
          <w:rFonts w:ascii="宋体" w:hAnsi="宋体"/>
          <w:bCs/>
          <w:color w:val="auto"/>
          <w:highlight w:val="none"/>
        </w:rPr>
        <w:t>服务人员休假期间的服务费(包括基本</w:t>
      </w:r>
      <w:r>
        <w:rPr>
          <w:rFonts w:hint="eastAsia" w:ascii="宋体" w:hAnsi="宋体"/>
          <w:bCs/>
          <w:color w:val="auto"/>
          <w:highlight w:val="none"/>
        </w:rPr>
        <w:t>工资</w:t>
      </w:r>
      <w:r>
        <w:rPr>
          <w:rFonts w:ascii="宋体" w:hAnsi="宋体"/>
          <w:bCs/>
          <w:color w:val="auto"/>
          <w:highlight w:val="none"/>
        </w:rPr>
        <w:t>(除98天生育津贴)、五险一金(养老保险、统帐医疗保险、工伤保险、失业保险、生</w:t>
      </w:r>
      <w:r>
        <w:rPr>
          <w:rFonts w:hint="eastAsia" w:ascii="宋体" w:hAnsi="宋体"/>
          <w:bCs/>
          <w:color w:val="auto"/>
          <w:highlight w:val="none"/>
        </w:rPr>
        <w:t>育保险、住房公积金</w:t>
      </w:r>
      <w:r>
        <w:rPr>
          <w:rFonts w:ascii="宋体" w:hAnsi="宋体"/>
          <w:bCs/>
          <w:color w:val="auto"/>
          <w:highlight w:val="none"/>
        </w:rPr>
        <w:t>)单位负担部分、意外保险、工会经费、残疾人保障金、代理服务费、</w:t>
      </w:r>
      <w:r>
        <w:rPr>
          <w:rFonts w:hint="eastAsia" w:ascii="宋体" w:hAnsi="宋体"/>
          <w:bCs/>
          <w:color w:val="auto"/>
          <w:highlight w:val="none"/>
        </w:rPr>
        <w:t>风险金和管理服务费</w:t>
      </w:r>
      <w:r>
        <w:rPr>
          <w:rFonts w:ascii="宋体" w:hAnsi="宋体"/>
          <w:bCs/>
          <w:color w:val="auto"/>
          <w:highlight w:val="none"/>
        </w:rPr>
        <w:t>),若需安排</w:t>
      </w:r>
      <w:r>
        <w:rPr>
          <w:rFonts w:hint="eastAsia" w:ascii="宋体" w:hAnsi="宋体"/>
          <w:bCs/>
          <w:color w:val="auto"/>
          <w:highlight w:val="none"/>
        </w:rPr>
        <w:t>其他</w:t>
      </w:r>
      <w:r>
        <w:rPr>
          <w:rFonts w:ascii="宋体" w:hAnsi="宋体"/>
          <w:bCs/>
          <w:color w:val="auto"/>
          <w:highlight w:val="none"/>
        </w:rPr>
        <w:t>人员对上述岗位进行顶岗</w:t>
      </w:r>
      <w:r>
        <w:rPr>
          <w:rFonts w:hint="eastAsia" w:ascii="宋体" w:hAnsi="宋体"/>
          <w:bCs/>
          <w:color w:val="auto"/>
          <w:highlight w:val="none"/>
        </w:rPr>
        <w:t>的</w:t>
      </w:r>
      <w:r>
        <w:rPr>
          <w:rFonts w:ascii="宋体" w:hAnsi="宋体"/>
          <w:bCs/>
          <w:color w:val="auto"/>
          <w:highlight w:val="none"/>
        </w:rPr>
        <w:t>，</w:t>
      </w:r>
      <w:r>
        <w:rPr>
          <w:rFonts w:hint="eastAsia" w:ascii="宋体" w:hAnsi="宋体"/>
          <w:bCs/>
          <w:color w:val="auto"/>
          <w:highlight w:val="none"/>
        </w:rPr>
        <w:t>采购人</w:t>
      </w:r>
      <w:r>
        <w:rPr>
          <w:rFonts w:ascii="宋体" w:hAnsi="宋体"/>
          <w:bCs/>
          <w:color w:val="auto"/>
          <w:highlight w:val="none"/>
        </w:rPr>
        <w:t>另</w:t>
      </w:r>
      <w:r>
        <w:rPr>
          <w:rFonts w:hint="eastAsia" w:ascii="宋体" w:hAnsi="宋体"/>
          <w:bCs/>
          <w:color w:val="auto"/>
          <w:highlight w:val="none"/>
        </w:rPr>
        <w:t>外</w:t>
      </w:r>
      <w:r>
        <w:rPr>
          <w:rFonts w:ascii="宋体" w:hAnsi="宋体"/>
          <w:bCs/>
          <w:color w:val="auto"/>
          <w:highlight w:val="none"/>
        </w:rPr>
        <w:t>支付顶岗服务</w:t>
      </w:r>
      <w:r>
        <w:rPr>
          <w:rFonts w:hint="eastAsia" w:ascii="宋体" w:hAnsi="宋体"/>
          <w:bCs/>
          <w:color w:val="auto"/>
          <w:highlight w:val="none"/>
        </w:rPr>
        <w:t>人员的服务费用。</w:t>
      </w:r>
    </w:p>
    <w:p w14:paraId="74482095">
      <w:pPr>
        <w:pStyle w:val="22"/>
        <w:widowControl/>
        <w:tabs>
          <w:tab w:val="left" w:pos="315"/>
          <w:tab w:val="left" w:pos="426"/>
          <w:tab w:val="left" w:pos="993"/>
          <w:tab w:val="left" w:pos="1592"/>
        </w:tabs>
        <w:snapToGrid w:val="0"/>
        <w:spacing w:line="460" w:lineRule="exact"/>
        <w:ind w:right="-237" w:firstLine="0" w:firstLineChars="0"/>
        <w:jc w:val="left"/>
        <w:rPr>
          <w:rFonts w:ascii="宋体" w:hAnsi="宋体" w:cs="仿宋"/>
          <w:color w:val="auto"/>
          <w:szCs w:val="21"/>
          <w:highlight w:val="none"/>
        </w:rPr>
      </w:pPr>
      <w:r>
        <w:rPr>
          <w:rFonts w:ascii="宋体" w:hAnsi="宋体"/>
          <w:bCs/>
          <w:color w:val="auto"/>
          <w:highlight w:val="none"/>
        </w:rPr>
        <w:t>10</w:t>
      </w:r>
      <w:r>
        <w:rPr>
          <w:rFonts w:hint="eastAsia" w:ascii="宋体" w:hAnsi="宋体"/>
          <w:bCs/>
          <w:color w:val="auto"/>
          <w:highlight w:val="none"/>
        </w:rPr>
        <w:t>、</w:t>
      </w:r>
      <w:r>
        <w:rPr>
          <w:rFonts w:hint="eastAsia" w:ascii="宋体" w:hAnsi="宋体" w:cs="仿宋"/>
          <w:color w:val="auto"/>
          <w:szCs w:val="21"/>
          <w:highlight w:val="none"/>
        </w:rPr>
        <w:t>若服务人员出勤不足</w:t>
      </w:r>
      <w:r>
        <w:rPr>
          <w:rFonts w:ascii="宋体" w:hAnsi="宋体" w:cs="仿宋"/>
          <w:color w:val="auto"/>
          <w:szCs w:val="21"/>
          <w:highlight w:val="none"/>
        </w:rPr>
        <w:t>1个月的(</w:t>
      </w:r>
      <w:r>
        <w:rPr>
          <w:rFonts w:hint="eastAsia" w:ascii="宋体" w:hAnsi="宋体" w:cs="仿宋"/>
          <w:color w:val="auto"/>
          <w:szCs w:val="21"/>
          <w:highlight w:val="none"/>
        </w:rPr>
        <w:t>三期</w:t>
      </w:r>
      <w:r>
        <w:rPr>
          <w:rFonts w:ascii="宋体" w:hAnsi="宋体" w:cs="仿宋"/>
          <w:color w:val="auto"/>
          <w:szCs w:val="21"/>
          <w:highlight w:val="none"/>
        </w:rPr>
        <w:t>员工除外)，该月服务人员的基本工资</w:t>
      </w:r>
      <w:r>
        <w:rPr>
          <w:rFonts w:hint="eastAsia" w:ascii="宋体" w:hAnsi="宋体" w:cs="仿宋"/>
          <w:color w:val="auto"/>
          <w:szCs w:val="21"/>
          <w:highlight w:val="none"/>
        </w:rPr>
        <w:t>、</w:t>
      </w:r>
      <w:r>
        <w:rPr>
          <w:rFonts w:ascii="宋体" w:hAnsi="宋体" w:cs="仿宋"/>
          <w:color w:val="auto"/>
          <w:szCs w:val="21"/>
          <w:highlight w:val="none"/>
        </w:rPr>
        <w:t>岗位津贴和绩效奖金部分</w:t>
      </w:r>
      <w:r>
        <w:rPr>
          <w:rFonts w:hint="eastAsia" w:ascii="宋体" w:hAnsi="宋体" w:cs="仿宋"/>
          <w:color w:val="auto"/>
          <w:szCs w:val="21"/>
          <w:highlight w:val="none"/>
        </w:rPr>
        <w:t>等</w:t>
      </w:r>
      <w:r>
        <w:rPr>
          <w:rFonts w:ascii="宋体" w:hAnsi="宋体" w:cs="仿宋"/>
          <w:color w:val="auto"/>
          <w:szCs w:val="21"/>
          <w:highlight w:val="none"/>
        </w:rPr>
        <w:t>，甲方可按缺岗天数作相应扣减，但除此之外的费用则按整月结算。</w:t>
      </w:r>
    </w:p>
    <w:p w14:paraId="11AA9E60">
      <w:pPr>
        <w:pStyle w:val="22"/>
        <w:widowControl/>
        <w:tabs>
          <w:tab w:val="left" w:pos="315"/>
          <w:tab w:val="left" w:pos="426"/>
          <w:tab w:val="left" w:pos="993"/>
          <w:tab w:val="left" w:pos="1592"/>
        </w:tabs>
        <w:snapToGrid w:val="0"/>
        <w:spacing w:line="460" w:lineRule="exact"/>
        <w:ind w:right="-237" w:firstLine="0" w:firstLineChars="0"/>
        <w:jc w:val="left"/>
        <w:rPr>
          <w:rFonts w:ascii="宋体" w:hAnsi="宋体" w:cs="仿宋"/>
          <w:color w:val="auto"/>
          <w:szCs w:val="21"/>
          <w:highlight w:val="none"/>
        </w:rPr>
      </w:pPr>
      <w:r>
        <w:rPr>
          <w:rFonts w:ascii="宋体" w:hAnsi="宋体" w:cs="仿宋"/>
          <w:color w:val="auto"/>
          <w:szCs w:val="21"/>
          <w:highlight w:val="none"/>
        </w:rPr>
        <w:t>11</w:t>
      </w:r>
      <w:r>
        <w:rPr>
          <w:rFonts w:hint="eastAsia" w:ascii="宋体" w:hAnsi="宋体" w:cs="仿宋"/>
          <w:color w:val="auto"/>
          <w:szCs w:val="21"/>
          <w:highlight w:val="none"/>
        </w:rPr>
        <w:t>、</w:t>
      </w:r>
      <w:r>
        <w:rPr>
          <w:rFonts w:hint="eastAsia" w:ascii="宋体" w:hAnsi="宋体"/>
          <w:bCs/>
          <w:color w:val="auto"/>
          <w:highlight w:val="none"/>
        </w:rPr>
        <w:t>采购人或政府相关部门因专项任务对服务人员发放的任何奖励、津贴，应足额及时发放给服务人员，服务商不得截留、克扣、挪用或从中抽取任何服务管理费用，并接受采购人的监督。</w:t>
      </w:r>
    </w:p>
    <w:p w14:paraId="782C1FD4"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/>
          <w:bCs/>
          <w:color w:val="auto"/>
          <w:highlight w:val="none"/>
        </w:rPr>
      </w:pPr>
      <w:r>
        <w:rPr>
          <w:rFonts w:ascii="宋体" w:hAnsi="宋体"/>
          <w:bCs/>
          <w:color w:val="auto"/>
          <w:highlight w:val="none"/>
        </w:rPr>
        <w:t>12</w:t>
      </w:r>
      <w:r>
        <w:rPr>
          <w:rFonts w:hint="eastAsia" w:ascii="宋体" w:hAnsi="宋体"/>
          <w:bCs/>
          <w:color w:val="auto"/>
          <w:highlight w:val="none"/>
        </w:rPr>
        <w:t>、服务人员薪酬福利在总服务费</w:t>
      </w:r>
      <w:r>
        <w:rPr>
          <w:rFonts w:ascii="宋体" w:hAnsi="宋体"/>
          <w:bCs/>
          <w:color w:val="auto"/>
          <w:highlight w:val="none"/>
        </w:rPr>
        <w:t>(不含税)中需达到一定比例，年度平均占比不得低于95%</w:t>
      </w:r>
      <w:r>
        <w:rPr>
          <w:rFonts w:hint="eastAsia" w:ascii="宋体" w:hAnsi="宋体"/>
          <w:bCs/>
          <w:color w:val="auto"/>
          <w:highlight w:val="none"/>
        </w:rPr>
        <w:t>，且服务商对每个岗位收取的管理总费用不得超过2</w:t>
      </w:r>
      <w:r>
        <w:rPr>
          <w:rFonts w:ascii="宋体" w:hAnsi="宋体"/>
          <w:bCs/>
          <w:color w:val="auto"/>
          <w:highlight w:val="none"/>
        </w:rPr>
        <w:t>50</w:t>
      </w:r>
      <w:r>
        <w:rPr>
          <w:rFonts w:hint="eastAsia" w:ascii="宋体" w:hAnsi="宋体"/>
          <w:bCs/>
          <w:color w:val="auto"/>
          <w:highlight w:val="none"/>
        </w:rPr>
        <w:t>元/人/月，否则服务商须在下年首月将上年度服务人员薪酬福利费用差额纠正。</w:t>
      </w:r>
      <w:r>
        <w:rPr>
          <w:rFonts w:ascii="宋体" w:hAnsi="宋体"/>
          <w:bCs/>
          <w:color w:val="auto"/>
          <w:highlight w:val="none"/>
        </w:rPr>
        <w:t>薪酬福利包括应发工资(含基本工资、岗位津贴、绩效、奖金、</w:t>
      </w:r>
      <w:r>
        <w:rPr>
          <w:rFonts w:hint="eastAsia" w:ascii="宋体" w:hAnsi="宋体"/>
          <w:bCs/>
          <w:color w:val="auto"/>
          <w:highlight w:val="none"/>
        </w:rPr>
        <w:t>固定加班费、津贴补贴、专项津贴等</w:t>
      </w:r>
      <w:r>
        <w:rPr>
          <w:rFonts w:ascii="宋体" w:hAnsi="宋体"/>
          <w:bCs/>
          <w:color w:val="auto"/>
          <w:highlight w:val="none"/>
        </w:rPr>
        <w:t>)、节日福利费、五险一金（单位部分）、意外保险、体检费等</w:t>
      </w:r>
      <w:r>
        <w:rPr>
          <w:rFonts w:hint="eastAsia" w:ascii="宋体" w:hAnsi="宋体"/>
          <w:bCs/>
          <w:color w:val="auto"/>
          <w:highlight w:val="none"/>
        </w:rPr>
        <w:t>。</w:t>
      </w:r>
    </w:p>
    <w:p w14:paraId="25DEA2FF"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/>
          <w:bCs/>
          <w:color w:val="auto"/>
          <w:highlight w:val="none"/>
        </w:rPr>
      </w:pPr>
      <w:r>
        <w:rPr>
          <w:rFonts w:ascii="宋体" w:hAnsi="宋体" w:cs="Times New Roman"/>
          <w:bCs/>
          <w:color w:val="auto"/>
          <w:szCs w:val="24"/>
          <w:highlight w:val="none"/>
        </w:rPr>
        <w:t>13</w:t>
      </w:r>
      <w:r>
        <w:rPr>
          <w:rFonts w:hint="eastAsia" w:ascii="宋体" w:hAnsi="宋体" w:cs="Times New Roman"/>
          <w:bCs/>
          <w:color w:val="auto"/>
          <w:szCs w:val="24"/>
          <w:highlight w:val="none"/>
        </w:rPr>
        <w:t>、</w:t>
      </w:r>
      <w:r>
        <w:rPr>
          <w:rFonts w:hint="eastAsia" w:ascii="宋体" w:hAnsi="宋体"/>
          <w:bCs/>
          <w:color w:val="auto"/>
          <w:highlight w:val="none"/>
        </w:rPr>
        <w:t>服务期内，如服务人员经社保局认定为工伤的，按工伤处理流程执行。</w:t>
      </w:r>
    </w:p>
    <w:p w14:paraId="54F51F19"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 w:cs="Times New Roman"/>
          <w:bCs/>
          <w:color w:val="auto"/>
          <w:szCs w:val="24"/>
          <w:highlight w:val="none"/>
        </w:rPr>
      </w:pPr>
      <w:r>
        <w:rPr>
          <w:rFonts w:ascii="宋体" w:hAnsi="宋体" w:cs="Times New Roman"/>
          <w:bCs/>
          <w:color w:val="auto"/>
          <w:szCs w:val="24"/>
          <w:highlight w:val="none"/>
        </w:rPr>
        <w:t>14</w:t>
      </w:r>
      <w:r>
        <w:rPr>
          <w:rFonts w:hint="eastAsia" w:ascii="宋体" w:hAnsi="宋体" w:cs="Times New Roman"/>
          <w:bCs/>
          <w:color w:val="auto"/>
          <w:szCs w:val="24"/>
          <w:highlight w:val="none"/>
        </w:rPr>
        <w:t>、</w:t>
      </w:r>
      <w:r>
        <w:rPr>
          <w:rFonts w:hint="eastAsia" w:ascii="宋体" w:hAnsi="宋体"/>
          <w:bCs/>
          <w:color w:val="auto"/>
          <w:highlight w:val="none"/>
        </w:rPr>
        <w:t xml:space="preserve">服务商须按照国家相关规定，做好服务人员的计划生育管理工作并承担相应的责任。 </w:t>
      </w:r>
    </w:p>
    <w:p w14:paraId="0D960DB3"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 w:cs="Times New Roman"/>
          <w:bCs/>
          <w:color w:val="auto"/>
          <w:szCs w:val="24"/>
          <w:highlight w:val="none"/>
        </w:rPr>
      </w:pPr>
      <w:r>
        <w:rPr>
          <w:rFonts w:ascii="宋体" w:hAnsi="宋体" w:cs="Times New Roman"/>
          <w:bCs/>
          <w:color w:val="auto"/>
          <w:szCs w:val="24"/>
          <w:highlight w:val="none"/>
        </w:rPr>
        <w:t>15</w:t>
      </w:r>
      <w:r>
        <w:rPr>
          <w:rFonts w:hint="eastAsia" w:ascii="宋体" w:hAnsi="宋体" w:cs="Times New Roman"/>
          <w:bCs/>
          <w:color w:val="auto"/>
          <w:szCs w:val="24"/>
          <w:highlight w:val="none"/>
        </w:rPr>
        <w:t>、服务商应按照国家有关规定成立工会组织，做好服务人员的工会管理工作并承担相应责任。</w:t>
      </w:r>
    </w:p>
    <w:p w14:paraId="6347E3AE"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 w:cs="Times New Roman"/>
          <w:bCs/>
          <w:color w:val="auto"/>
          <w:szCs w:val="24"/>
          <w:highlight w:val="none"/>
        </w:rPr>
      </w:pPr>
      <w:r>
        <w:rPr>
          <w:rFonts w:ascii="宋体" w:hAnsi="宋体" w:cs="Times New Roman"/>
          <w:bCs/>
          <w:color w:val="auto"/>
          <w:szCs w:val="24"/>
          <w:highlight w:val="none"/>
        </w:rPr>
        <w:t>16</w:t>
      </w:r>
      <w:r>
        <w:rPr>
          <w:rFonts w:hint="eastAsia" w:ascii="宋体" w:hAnsi="宋体" w:cs="Times New Roman"/>
          <w:bCs/>
          <w:color w:val="auto"/>
          <w:szCs w:val="24"/>
          <w:highlight w:val="none"/>
        </w:rPr>
        <w:t>、</w:t>
      </w:r>
      <w:r>
        <w:rPr>
          <w:rFonts w:hint="eastAsia" w:ascii="宋体" w:hAnsi="宋体"/>
          <w:bCs/>
          <w:color w:val="auto"/>
          <w:szCs w:val="24"/>
          <w:highlight w:val="none"/>
        </w:rPr>
        <w:t>服务商签订合同前必须按照国家相关保密规定和采购人签订《保密协议》，对违反《保密协议》相关内容规定的，采购人有权追究其法律责任。</w:t>
      </w:r>
    </w:p>
    <w:p w14:paraId="416D9098"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/>
          <w:bCs/>
          <w:color w:val="auto"/>
          <w:highlight w:val="none"/>
        </w:rPr>
      </w:pPr>
      <w:r>
        <w:rPr>
          <w:rFonts w:ascii="宋体" w:hAnsi="宋体"/>
          <w:bCs/>
          <w:color w:val="auto"/>
          <w:highlight w:val="none"/>
        </w:rPr>
        <w:t>17</w:t>
      </w:r>
      <w:r>
        <w:rPr>
          <w:rFonts w:hint="eastAsia" w:ascii="宋体" w:hAnsi="宋体"/>
          <w:bCs/>
          <w:color w:val="auto"/>
          <w:highlight w:val="none"/>
        </w:rPr>
        <w:t>、服务期满或合同提前解除后，如采购人未能确定新的服务公司，服务商须按本合同约定的服务条款继续履行服务工作，采购人按本合同约定结算方式支付费用，但不得超过原合同结算金额的</w:t>
      </w:r>
      <w:r>
        <w:rPr>
          <w:rFonts w:ascii="宋体" w:hAnsi="宋体"/>
          <w:bCs/>
          <w:color w:val="auto"/>
          <w:highlight w:val="none"/>
        </w:rPr>
        <w:t>10%</w:t>
      </w:r>
      <w:r>
        <w:rPr>
          <w:rFonts w:hint="eastAsia" w:ascii="宋体" w:hAnsi="宋体"/>
          <w:bCs/>
          <w:color w:val="auto"/>
          <w:highlight w:val="none"/>
        </w:rPr>
        <w:t>。服务商须积极配合采购人和新中标服务公司进行交接手续，直到新的服务公司进场完成交接工作。</w:t>
      </w:r>
    </w:p>
    <w:p w14:paraId="4E22F3AF">
      <w:pPr>
        <w:pStyle w:val="2"/>
        <w:spacing w:before="156" w:after="156"/>
        <w:rPr>
          <w:color w:val="auto"/>
          <w:highlight w:val="none"/>
        </w:rPr>
      </w:pPr>
      <w:r>
        <w:rPr>
          <w:rFonts w:hint="eastAsia" w:cs="Times New Roman"/>
          <w:b w:val="0"/>
          <w:bCs/>
          <w:color w:val="auto"/>
          <w:sz w:val="21"/>
          <w:szCs w:val="24"/>
          <w:highlight w:val="none"/>
        </w:rPr>
        <w:t>1</w:t>
      </w:r>
      <w:r>
        <w:rPr>
          <w:rFonts w:cs="Times New Roman"/>
          <w:b w:val="0"/>
          <w:bCs/>
          <w:color w:val="auto"/>
          <w:sz w:val="21"/>
          <w:szCs w:val="24"/>
          <w:highlight w:val="none"/>
        </w:rPr>
        <w:t>8</w:t>
      </w:r>
      <w:r>
        <w:rPr>
          <w:rFonts w:hint="eastAsia" w:cs="Times New Roman"/>
          <w:b w:val="0"/>
          <w:bCs/>
          <w:color w:val="auto"/>
          <w:sz w:val="21"/>
          <w:szCs w:val="24"/>
          <w:highlight w:val="none"/>
        </w:rPr>
        <w:t>、对目前已在采购人处服务的工作人员，服务商应优先招聘录用。</w:t>
      </w:r>
    </w:p>
    <w:p w14:paraId="07A7A82A"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/>
          <w:b/>
          <w:color w:val="auto"/>
          <w:sz w:val="24"/>
          <w:szCs w:val="21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1"/>
          <w:highlight w:val="none"/>
        </w:rPr>
        <w:t>五、付款方式</w:t>
      </w:r>
    </w:p>
    <w:p w14:paraId="1AB373F0"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/>
          <w:b/>
          <w:color w:val="auto"/>
          <w:highlight w:val="none"/>
        </w:rPr>
      </w:pPr>
      <w:r>
        <w:rPr>
          <w:rFonts w:hint="eastAsia" w:ascii="宋体" w:hAnsi="宋体"/>
          <w:bCs/>
          <w:color w:val="auto"/>
          <w:highlight w:val="none"/>
        </w:rPr>
        <w:t>按月支付，每月服务费=服务人次*服务人员固定单价+其他专项津贴。每月10号前服务商向采购人提供以下资料：（1）经双方确认的服务人数、服务结算资料；（2）薪酬福利费月占比及依据材料；（3）相应金额、合法、有效且符合甲方要求的正规发票（发票金额按扣除考核罚款后金额开具）；采购人在收到上述资料后60个自然日内一次性支付。</w:t>
      </w:r>
    </w:p>
    <w:p w14:paraId="4A396C6C"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/>
          <w:b/>
          <w:color w:val="auto"/>
          <w:sz w:val="24"/>
          <w:szCs w:val="21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1"/>
          <w:highlight w:val="none"/>
        </w:rPr>
        <w:t>六、履约保证金</w:t>
      </w:r>
    </w:p>
    <w:p w14:paraId="10B79949">
      <w:pPr>
        <w:widowControl/>
        <w:tabs>
          <w:tab w:val="left" w:pos="424"/>
          <w:tab w:val="left" w:pos="3240"/>
          <w:tab w:val="left" w:pos="4410"/>
        </w:tabs>
        <w:spacing w:line="460" w:lineRule="exact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1</w:t>
      </w:r>
      <w:r>
        <w:rPr>
          <w:rFonts w:hint="eastAsia" w:ascii="宋体" w:hAnsi="宋体"/>
          <w:color w:val="auto"/>
          <w:szCs w:val="21"/>
          <w:highlight w:val="none"/>
        </w:rPr>
        <w:t>、履约保证金为3</w:t>
      </w:r>
      <w:r>
        <w:rPr>
          <w:rFonts w:ascii="宋体" w:hAnsi="宋体"/>
          <w:color w:val="auto"/>
          <w:szCs w:val="21"/>
          <w:highlight w:val="none"/>
        </w:rPr>
        <w:t>0</w:t>
      </w:r>
      <w:r>
        <w:rPr>
          <w:rFonts w:hint="eastAsia" w:ascii="宋体" w:hAnsi="宋体"/>
          <w:color w:val="auto"/>
          <w:szCs w:val="21"/>
          <w:highlight w:val="none"/>
        </w:rPr>
        <w:t>万元，</w:t>
      </w:r>
      <w:r>
        <w:rPr>
          <w:rFonts w:ascii="宋体" w:hAnsi="宋体"/>
          <w:color w:val="auto"/>
          <w:szCs w:val="21"/>
          <w:highlight w:val="none"/>
        </w:rPr>
        <w:t>合同签订后，</w:t>
      </w:r>
      <w:r>
        <w:rPr>
          <w:rFonts w:hint="eastAsia" w:ascii="宋体" w:hAnsi="宋体"/>
          <w:color w:val="auto"/>
          <w:szCs w:val="21"/>
          <w:highlight w:val="none"/>
        </w:rPr>
        <w:t>服务商须于10个工作日内以支票、汇票、本票或者金融机构、担保机构出具的保函等非现金形式向采购人提交履约保证金</w:t>
      </w:r>
      <w:r>
        <w:rPr>
          <w:rFonts w:ascii="宋体" w:hAnsi="宋体"/>
          <w:color w:val="auto"/>
          <w:szCs w:val="21"/>
          <w:highlight w:val="none"/>
        </w:rPr>
        <w:t>。</w:t>
      </w:r>
    </w:p>
    <w:p w14:paraId="6F6A4CB2">
      <w:pPr>
        <w:widowControl/>
        <w:tabs>
          <w:tab w:val="left" w:pos="424"/>
          <w:tab w:val="left" w:pos="3240"/>
          <w:tab w:val="left" w:pos="4410"/>
        </w:tabs>
        <w:spacing w:line="460" w:lineRule="exact"/>
        <w:jc w:val="lef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2</w:t>
      </w:r>
      <w:r>
        <w:rPr>
          <w:rFonts w:hint="eastAsia" w:ascii="宋体" w:hAnsi="宋体"/>
          <w:color w:val="auto"/>
          <w:szCs w:val="21"/>
          <w:highlight w:val="none"/>
        </w:rPr>
        <w:t>、若服务商不履行或不适当履行其合同义务导致采购人蒙受损失的，采购人有权直接从履约保证金中扣除相应违约金或损失赔偿款项；违约金或给采购人造成的损失超过履约保证金数额的，服务商应对超出部分给予赔偿；若服务商没有违约行为，履约保证金在合同履行期限结束后由采购人无息退还服务商。</w:t>
      </w:r>
    </w:p>
    <w:p w14:paraId="456F7016">
      <w:pPr>
        <w:widowControl w:val="0"/>
        <w:spacing w:line="240" w:lineRule="auto"/>
        <w:jc w:val="both"/>
        <w:rPr>
          <w:rFonts w:hint="eastAsia" w:ascii="Calibri" w:hAnsi="Calibri"/>
          <w:color w:val="auto"/>
          <w:szCs w:val="24"/>
          <w:highlight w:val="none"/>
        </w:rPr>
      </w:pPr>
    </w:p>
    <w:p w14:paraId="2FB26575">
      <w:pPr>
        <w:rPr>
          <w:color w:val="auto"/>
          <w:highlight w:val="none"/>
        </w:rPr>
      </w:pPr>
    </w:p>
    <w:p w14:paraId="5151DC68">
      <w:pPr>
        <w:widowControl/>
        <w:numPr>
          <w:ins w:id="0" w:author="zyy" w:date="2024-11-15T11:23:00Z"/>
        </w:numPr>
        <w:shd w:val="clear" w:color="auto" w:fill="auto"/>
        <w:tabs>
          <w:tab w:val="left" w:pos="424"/>
          <w:tab w:val="left" w:pos="3240"/>
        </w:tabs>
        <w:spacing w:line="460" w:lineRule="exact"/>
        <w:jc w:val="left"/>
        <w:rPr>
          <w:rFonts w:ascii="宋体" w:hAnsi="宋体"/>
          <w:b/>
          <w:color w:val="auto"/>
          <w:sz w:val="24"/>
          <w:szCs w:val="21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1"/>
          <w:highlight w:val="none"/>
        </w:rPr>
        <w:t>七、服务考评标准或考核要求</w:t>
      </w:r>
    </w:p>
    <w:p w14:paraId="4EF97510">
      <w:pPr>
        <w:widowControl/>
        <w:shd w:val="clear" w:color="auto" w:fill="auto"/>
        <w:tabs>
          <w:tab w:val="left" w:pos="424"/>
          <w:tab w:val="left" w:pos="3240"/>
          <w:tab w:val="left" w:pos="4410"/>
        </w:tabs>
        <w:spacing w:line="460" w:lineRule="exact"/>
        <w:ind w:firstLine="0" w:firstLineChars="0"/>
        <w:jc w:val="left"/>
        <w:rPr>
          <w:rFonts w:ascii="宋体" w:hAnsi="宋体"/>
          <w:b w:val="0"/>
          <w:color w:val="auto"/>
          <w:sz w:val="21"/>
          <w:szCs w:val="21"/>
          <w:highlight w:val="none"/>
        </w:rPr>
      </w:pPr>
      <w:r>
        <w:rPr>
          <w:rFonts w:ascii="宋体" w:hAnsi="宋体"/>
          <w:b w:val="0"/>
          <w:color w:val="auto"/>
          <w:sz w:val="21"/>
          <w:szCs w:val="21"/>
          <w:highlight w:val="none"/>
        </w:rPr>
        <w:t>1、</w:t>
      </w:r>
      <w:r>
        <w:rPr>
          <w:rFonts w:hint="eastAsia" w:ascii="宋体" w:hAnsi="宋体"/>
          <w:b w:val="0"/>
          <w:color w:val="auto"/>
          <w:sz w:val="21"/>
          <w:szCs w:val="21"/>
          <w:highlight w:val="none"/>
        </w:rPr>
        <w:t>总体服务考评标准</w:t>
      </w:r>
    </w:p>
    <w:tbl>
      <w:tblPr>
        <w:tblStyle w:val="11"/>
        <w:tblW w:w="970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950"/>
        <w:gridCol w:w="2505"/>
        <w:gridCol w:w="2246"/>
        <w:gridCol w:w="3999"/>
      </w:tblGrid>
      <w:tr w14:paraId="7489B5C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950" w:type="dxa"/>
            <w:vAlign w:val="center"/>
          </w:tcPr>
          <w:p w14:paraId="57A33C1B"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考核项目</w:t>
            </w:r>
          </w:p>
        </w:tc>
        <w:tc>
          <w:tcPr>
            <w:tcW w:w="2505" w:type="dxa"/>
            <w:vAlign w:val="center"/>
          </w:tcPr>
          <w:p w14:paraId="20CEC002"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考核内容</w:t>
            </w:r>
          </w:p>
        </w:tc>
        <w:tc>
          <w:tcPr>
            <w:tcW w:w="2246" w:type="dxa"/>
            <w:vAlign w:val="center"/>
          </w:tcPr>
          <w:p w14:paraId="276A26D1"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扣分或加分标准</w:t>
            </w:r>
          </w:p>
        </w:tc>
        <w:tc>
          <w:tcPr>
            <w:tcW w:w="3999" w:type="dxa"/>
            <w:vAlign w:val="center"/>
          </w:tcPr>
          <w:p w14:paraId="3E44D3C8"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经济扣罚或奖励标准及其他补充说明</w:t>
            </w:r>
          </w:p>
        </w:tc>
      </w:tr>
      <w:tr w14:paraId="4FCEEC7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50" w:type="dxa"/>
            <w:vMerge w:val="restart"/>
            <w:vAlign w:val="center"/>
          </w:tcPr>
          <w:p w14:paraId="29114110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一、服务团队建设</w:t>
            </w:r>
          </w:p>
        </w:tc>
        <w:tc>
          <w:tcPr>
            <w:tcW w:w="2505" w:type="dxa"/>
            <w:vAlign w:val="center"/>
          </w:tcPr>
          <w:p w14:paraId="5A5B75CA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1、未经培训的或人员不符合服务基本条件。</w:t>
            </w:r>
          </w:p>
        </w:tc>
        <w:tc>
          <w:tcPr>
            <w:tcW w:w="2246" w:type="dxa"/>
            <w:vAlign w:val="center"/>
          </w:tcPr>
          <w:p w14:paraId="160C9011">
            <w:pPr>
              <w:jc w:val="center"/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扣2分/人</w:t>
            </w:r>
          </w:p>
        </w:tc>
        <w:tc>
          <w:tcPr>
            <w:tcW w:w="3999" w:type="dxa"/>
            <w:vAlign w:val="center"/>
          </w:tcPr>
          <w:p w14:paraId="0D3A3A93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扣罚100元/人，采购人有权要求更换相关人员并追究有关责任，服务商应按采购人要求更换人员并承担相关责任。</w:t>
            </w:r>
          </w:p>
        </w:tc>
      </w:tr>
      <w:tr w14:paraId="5A73E1D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7" w:hRule="atLeast"/>
          <w:jc w:val="center"/>
        </w:trPr>
        <w:tc>
          <w:tcPr>
            <w:tcW w:w="950" w:type="dxa"/>
            <w:vMerge w:val="continue"/>
            <w:vAlign w:val="center"/>
          </w:tcPr>
          <w:p w14:paraId="390131F7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vAlign w:val="center"/>
          </w:tcPr>
          <w:p w14:paraId="25E4AF5E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2、未按时签订劳动合同或发放工资、补助、购买社保的。</w:t>
            </w:r>
          </w:p>
        </w:tc>
        <w:tc>
          <w:tcPr>
            <w:tcW w:w="2246" w:type="dxa"/>
            <w:vAlign w:val="center"/>
          </w:tcPr>
          <w:p w14:paraId="10BBF6C3">
            <w:pPr>
              <w:jc w:val="center"/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扣2.5分/人(任一项)</w:t>
            </w:r>
          </w:p>
        </w:tc>
        <w:tc>
          <w:tcPr>
            <w:tcW w:w="3999" w:type="dxa"/>
            <w:vAlign w:val="center"/>
          </w:tcPr>
          <w:p w14:paraId="3FF9B729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扣罚100元/人(任一项)。</w:t>
            </w:r>
          </w:p>
        </w:tc>
      </w:tr>
      <w:tr w14:paraId="6651849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950" w:type="dxa"/>
            <w:vMerge w:val="continue"/>
            <w:vAlign w:val="center"/>
          </w:tcPr>
          <w:p w14:paraId="6BDF8A7C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vAlign w:val="center"/>
          </w:tcPr>
          <w:p w14:paraId="54584F32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3、少配置人员的（且7天内未按要求补齐）。</w:t>
            </w:r>
          </w:p>
        </w:tc>
        <w:tc>
          <w:tcPr>
            <w:tcW w:w="2246" w:type="dxa"/>
            <w:vAlign w:val="center"/>
          </w:tcPr>
          <w:p w14:paraId="042B6B71">
            <w:pPr>
              <w:jc w:val="center"/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扣10分/人</w:t>
            </w:r>
          </w:p>
        </w:tc>
        <w:tc>
          <w:tcPr>
            <w:tcW w:w="3999" w:type="dxa"/>
            <w:vAlign w:val="center"/>
          </w:tcPr>
          <w:p w14:paraId="73115BF9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按缺岗人员的发放工资标准等额扣除对应缺天数的费用，采购人有权要求补齐人员，服务商应按采购人要求补齐人员。</w:t>
            </w:r>
          </w:p>
        </w:tc>
      </w:tr>
      <w:tr w14:paraId="3792989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950" w:type="dxa"/>
            <w:vMerge w:val="continue"/>
            <w:vAlign w:val="center"/>
          </w:tcPr>
          <w:p w14:paraId="20A7813A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vAlign w:val="center"/>
          </w:tcPr>
          <w:p w14:paraId="595E78F8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4、人员稳定性高，每个月的离职率最高不超过5%。</w:t>
            </w:r>
          </w:p>
        </w:tc>
        <w:tc>
          <w:tcPr>
            <w:tcW w:w="2246" w:type="dxa"/>
            <w:vAlign w:val="center"/>
          </w:tcPr>
          <w:p w14:paraId="7E6B6BFB">
            <w:pPr>
              <w:jc w:val="center"/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每超1%扣2分</w:t>
            </w:r>
          </w:p>
        </w:tc>
        <w:tc>
          <w:tcPr>
            <w:tcW w:w="3999" w:type="dxa"/>
            <w:vAlign w:val="center"/>
          </w:tcPr>
          <w:p w14:paraId="1F78524A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采购人有权要求补齐人员，服务商应按采购人要求补齐人员。</w:t>
            </w:r>
          </w:p>
        </w:tc>
      </w:tr>
      <w:tr w14:paraId="1EE5828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950" w:type="dxa"/>
            <w:vMerge w:val="continue"/>
            <w:vAlign w:val="center"/>
          </w:tcPr>
          <w:p w14:paraId="49B9CCCA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vAlign w:val="center"/>
          </w:tcPr>
          <w:p w14:paraId="21A8A350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5、值班人员脱岗的。</w:t>
            </w:r>
          </w:p>
        </w:tc>
        <w:tc>
          <w:tcPr>
            <w:tcW w:w="2246" w:type="dxa"/>
            <w:vAlign w:val="center"/>
          </w:tcPr>
          <w:p w14:paraId="138E6E37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扣1分/人/次(备注:值班人员在接到通知后10分钟内未到达指定位置的、上班时间离开上班安排区域或做其他与本职工作无关工作的,扣1分/人:同一个人一个月内脱岗2次以上(含2次)扣2分/次。)</w:t>
            </w:r>
          </w:p>
        </w:tc>
        <w:tc>
          <w:tcPr>
            <w:tcW w:w="3999" w:type="dxa"/>
            <w:vAlign w:val="center"/>
          </w:tcPr>
          <w:p w14:paraId="323F728F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扣罚100元/人/次(备注: 值班人员在接到通知后10分钟内未到达指定位置的、上班时间离开上班安排区域或做其他与本职工作无关工作的,扣款100元/人;同一个人一个月内脱岗2次以上(含2次)扣款300元/次)。 采购人有权要求更换相关人员并追究有关责任，服务商应按采购人要求更换人员并承担相关责任。</w:t>
            </w:r>
          </w:p>
        </w:tc>
      </w:tr>
      <w:tr w14:paraId="0AF7632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3" w:hRule="atLeast"/>
          <w:jc w:val="center"/>
        </w:trPr>
        <w:tc>
          <w:tcPr>
            <w:tcW w:w="950" w:type="dxa"/>
            <w:vMerge w:val="continue"/>
            <w:vAlign w:val="center"/>
          </w:tcPr>
          <w:p w14:paraId="33C480AF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vAlign w:val="center"/>
          </w:tcPr>
          <w:p w14:paraId="4E5FDAFC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6、发生与工作相关的“吃、拿、卡、要”等问题:发生有责纠纷及其它事情等,造成不良影响的。</w:t>
            </w:r>
          </w:p>
        </w:tc>
        <w:tc>
          <w:tcPr>
            <w:tcW w:w="2246" w:type="dxa"/>
            <w:vAlign w:val="center"/>
          </w:tcPr>
          <w:p w14:paraId="07CBCBBA">
            <w:pPr>
              <w:jc w:val="center"/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扣10分/次</w:t>
            </w:r>
          </w:p>
        </w:tc>
        <w:tc>
          <w:tcPr>
            <w:tcW w:w="3999" w:type="dxa"/>
            <w:vAlign w:val="center"/>
          </w:tcPr>
          <w:p w14:paraId="2784A96F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扣罚200元/次:造成严重后果及影响的.500元/次。采购人有权要求更换相关人员并追究有关责任，服务商应按采购人要求更换人员并承担相关责任。</w:t>
            </w:r>
          </w:p>
        </w:tc>
      </w:tr>
      <w:tr w14:paraId="0089624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950" w:type="dxa"/>
            <w:vMerge w:val="continue"/>
            <w:vAlign w:val="center"/>
          </w:tcPr>
          <w:p w14:paraId="40C0A215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vAlign w:val="center"/>
          </w:tcPr>
          <w:p w14:paraId="3F6C470D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7、出现仪容不整、着装不整、证件、值勤标志佩戴不齐的。</w:t>
            </w:r>
          </w:p>
        </w:tc>
        <w:tc>
          <w:tcPr>
            <w:tcW w:w="2246" w:type="dxa"/>
            <w:vAlign w:val="center"/>
          </w:tcPr>
          <w:p w14:paraId="5E519C37">
            <w:pPr>
              <w:jc w:val="center"/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扣0.5分/人/次</w:t>
            </w:r>
          </w:p>
        </w:tc>
        <w:tc>
          <w:tcPr>
            <w:tcW w:w="3999" w:type="dxa"/>
            <w:vAlign w:val="center"/>
          </w:tcPr>
          <w:p w14:paraId="73B91E62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扣罚50元/人/次，采购人有权要求更换相关人员并追究有关责任，服务商应按采购人要求更换人员并承担相关责任。</w:t>
            </w:r>
          </w:p>
        </w:tc>
      </w:tr>
      <w:tr w14:paraId="0238197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1" w:hRule="atLeast"/>
          <w:jc w:val="center"/>
        </w:trPr>
        <w:tc>
          <w:tcPr>
            <w:tcW w:w="950" w:type="dxa"/>
            <w:vMerge w:val="continue"/>
            <w:vAlign w:val="center"/>
          </w:tcPr>
          <w:p w14:paraId="6ABB2A26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vAlign w:val="center"/>
          </w:tcPr>
          <w:p w14:paraId="6149A211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8、出现工作态度粗暴、野蛮、语言不文明等言行举止不当的。</w:t>
            </w:r>
          </w:p>
        </w:tc>
        <w:tc>
          <w:tcPr>
            <w:tcW w:w="2246" w:type="dxa"/>
            <w:vAlign w:val="center"/>
          </w:tcPr>
          <w:p w14:paraId="48FFAFA6">
            <w:pPr>
              <w:jc w:val="center"/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扣1分/人/次</w:t>
            </w:r>
          </w:p>
        </w:tc>
        <w:tc>
          <w:tcPr>
            <w:tcW w:w="3999" w:type="dxa"/>
            <w:vAlign w:val="center"/>
          </w:tcPr>
          <w:p w14:paraId="3E4BF9EC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扣罚50元/人/次，采购人有权要求更换相关人员并追究有关责任，服务商应按采购人要求更换人员并承担相关责任。</w:t>
            </w:r>
          </w:p>
        </w:tc>
      </w:tr>
      <w:tr w14:paraId="7EFCB1F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1" w:hRule="atLeast"/>
          <w:jc w:val="center"/>
        </w:trPr>
        <w:tc>
          <w:tcPr>
            <w:tcW w:w="950" w:type="dxa"/>
            <w:vMerge w:val="continue"/>
            <w:vAlign w:val="center"/>
          </w:tcPr>
          <w:p w14:paraId="69C40CED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vAlign w:val="center"/>
          </w:tcPr>
          <w:p w14:paraId="6BBB8322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9、出现服务商不配合监督检查的。</w:t>
            </w:r>
          </w:p>
        </w:tc>
        <w:tc>
          <w:tcPr>
            <w:tcW w:w="2246" w:type="dxa"/>
            <w:vAlign w:val="center"/>
          </w:tcPr>
          <w:p w14:paraId="278A5F36">
            <w:pPr>
              <w:jc w:val="center"/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扣2分/次</w:t>
            </w:r>
          </w:p>
        </w:tc>
        <w:tc>
          <w:tcPr>
            <w:tcW w:w="3999" w:type="dxa"/>
            <w:vAlign w:val="center"/>
          </w:tcPr>
          <w:p w14:paraId="4913F3C9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扣罚100元/次，采购人有权要求更换相关人员并追究有关责任，服务商应按采购人要求更换人员并承担相关责任。</w:t>
            </w:r>
          </w:p>
        </w:tc>
      </w:tr>
      <w:tr w14:paraId="5394411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950" w:type="dxa"/>
            <w:vMerge w:val="continue"/>
            <w:vAlign w:val="center"/>
          </w:tcPr>
          <w:p w14:paraId="566102B0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vAlign w:val="center"/>
          </w:tcPr>
          <w:p w14:paraId="40BD0614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10、未按要求上报相关工作情况信息的。</w:t>
            </w:r>
          </w:p>
        </w:tc>
        <w:tc>
          <w:tcPr>
            <w:tcW w:w="2246" w:type="dxa"/>
            <w:vAlign w:val="center"/>
          </w:tcPr>
          <w:p w14:paraId="35076C0D">
            <w:pPr>
              <w:jc w:val="center"/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扣2分/次</w:t>
            </w:r>
          </w:p>
        </w:tc>
        <w:tc>
          <w:tcPr>
            <w:tcW w:w="3999" w:type="dxa"/>
            <w:vAlign w:val="center"/>
          </w:tcPr>
          <w:p w14:paraId="7AB8BF8A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扣罚100元/次，采购人有权要求更换相关人员并追究有关责任，服务商应按采购人要求更换人员并承担相关责任。</w:t>
            </w:r>
          </w:p>
        </w:tc>
      </w:tr>
      <w:tr w14:paraId="35EFF05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50" w:type="dxa"/>
            <w:vMerge w:val="continue"/>
            <w:vAlign w:val="center"/>
          </w:tcPr>
          <w:p w14:paraId="08F97609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vAlign w:val="center"/>
          </w:tcPr>
          <w:p w14:paraId="1307B4B6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11、擅自调整工作安排的。</w:t>
            </w:r>
          </w:p>
        </w:tc>
        <w:tc>
          <w:tcPr>
            <w:tcW w:w="2246" w:type="dxa"/>
            <w:vAlign w:val="center"/>
          </w:tcPr>
          <w:p w14:paraId="0319469F">
            <w:pPr>
              <w:jc w:val="center"/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扣2分/次</w:t>
            </w:r>
          </w:p>
        </w:tc>
        <w:tc>
          <w:tcPr>
            <w:tcW w:w="3999" w:type="dxa"/>
            <w:vAlign w:val="center"/>
          </w:tcPr>
          <w:p w14:paraId="5DF767EC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扣罚100元/次，采购人有权要求更换相关人员并追究有关责任，服务商应按采购人要求更换人员并承担相关责任。</w:t>
            </w:r>
          </w:p>
        </w:tc>
      </w:tr>
      <w:tr w14:paraId="06ED378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7" w:hRule="atLeast"/>
          <w:jc w:val="center"/>
        </w:trPr>
        <w:tc>
          <w:tcPr>
            <w:tcW w:w="950" w:type="dxa"/>
            <w:vMerge w:val="continue"/>
            <w:vAlign w:val="center"/>
          </w:tcPr>
          <w:p w14:paraId="5FF09C37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vAlign w:val="center"/>
          </w:tcPr>
          <w:p w14:paraId="7E5A2517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12、服务商根据职责不能有效制止或处理的违反管理规定的行为,未及时上报的。</w:t>
            </w:r>
          </w:p>
        </w:tc>
        <w:tc>
          <w:tcPr>
            <w:tcW w:w="2246" w:type="dxa"/>
            <w:vAlign w:val="center"/>
          </w:tcPr>
          <w:p w14:paraId="01D2DFE4">
            <w:pPr>
              <w:jc w:val="center"/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扣2分/次</w:t>
            </w:r>
          </w:p>
        </w:tc>
        <w:tc>
          <w:tcPr>
            <w:tcW w:w="3999" w:type="dxa"/>
            <w:vAlign w:val="center"/>
          </w:tcPr>
          <w:p w14:paraId="10D9E931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扣罚100元/次，采购人有权要求更换相关人员并追究有关责任，服务商应按采购人要求更换人员并承担相关责任。</w:t>
            </w:r>
          </w:p>
        </w:tc>
      </w:tr>
      <w:tr w14:paraId="68CC746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40" w:hRule="atLeast"/>
          <w:jc w:val="center"/>
        </w:trPr>
        <w:tc>
          <w:tcPr>
            <w:tcW w:w="950" w:type="dxa"/>
            <w:vMerge w:val="continue"/>
            <w:vAlign w:val="center"/>
          </w:tcPr>
          <w:p w14:paraId="2F1672F1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vAlign w:val="center"/>
          </w:tcPr>
          <w:p w14:paraId="113CBB05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13、服务商能充分利用不同的平台、制定完善的招聘流程，为本项目招聘到符合采购人使用要求的员工。</w:t>
            </w:r>
          </w:p>
        </w:tc>
        <w:tc>
          <w:tcPr>
            <w:tcW w:w="2246" w:type="dxa"/>
            <w:vAlign w:val="center"/>
          </w:tcPr>
          <w:p w14:paraId="0438C507">
            <w:pPr>
              <w:jc w:val="center"/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加3分</w:t>
            </w:r>
          </w:p>
        </w:tc>
        <w:tc>
          <w:tcPr>
            <w:tcW w:w="3999" w:type="dxa"/>
            <w:vAlign w:val="center"/>
          </w:tcPr>
          <w:p w14:paraId="6E0B39C2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/</w:t>
            </w:r>
          </w:p>
        </w:tc>
      </w:tr>
      <w:tr w14:paraId="01DADD3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98" w:hRule="atLeast"/>
          <w:jc w:val="center"/>
        </w:trPr>
        <w:tc>
          <w:tcPr>
            <w:tcW w:w="950" w:type="dxa"/>
            <w:vMerge w:val="continue"/>
            <w:vAlign w:val="center"/>
          </w:tcPr>
          <w:p w14:paraId="1F173821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vAlign w:val="center"/>
          </w:tcPr>
          <w:p w14:paraId="2747C97C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14、采购人用人部门对外包人员提供的服务满意度情况。</w:t>
            </w:r>
          </w:p>
        </w:tc>
        <w:tc>
          <w:tcPr>
            <w:tcW w:w="2246" w:type="dxa"/>
            <w:vAlign w:val="center"/>
          </w:tcPr>
          <w:p w14:paraId="3745A562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满意度达90%或以上，加3分满意度达80%-90%不扣分；满意度低于80%，每低5%扣2分。</w:t>
            </w:r>
          </w:p>
        </w:tc>
        <w:tc>
          <w:tcPr>
            <w:tcW w:w="3999" w:type="dxa"/>
            <w:vAlign w:val="center"/>
          </w:tcPr>
          <w:p w14:paraId="3CF1DC48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满意度调查由采购人组织完成。</w:t>
            </w:r>
          </w:p>
        </w:tc>
      </w:tr>
      <w:tr w14:paraId="11695B6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43" w:hRule="atLeast"/>
          <w:jc w:val="center"/>
        </w:trPr>
        <w:tc>
          <w:tcPr>
            <w:tcW w:w="950" w:type="dxa"/>
            <w:vAlign w:val="center"/>
          </w:tcPr>
          <w:p w14:paraId="1A57813D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vAlign w:val="center"/>
          </w:tcPr>
          <w:p w14:paraId="5D8C2690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  <w:t>15、</w:t>
            </w: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采购人</w:t>
            </w:r>
            <w: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  <w:t>按</w:t>
            </w: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月</w:t>
            </w:r>
            <w: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  <w:t>对服务人员进行考核，并将考核结果于</w:t>
            </w: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次月</w:t>
            </w:r>
            <w: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  <w:t>10日前提交给采购人。</w:t>
            </w:r>
          </w:p>
        </w:tc>
        <w:tc>
          <w:tcPr>
            <w:tcW w:w="2246" w:type="dxa"/>
            <w:vAlign w:val="center"/>
          </w:tcPr>
          <w:p w14:paraId="466E1369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未按时考核或未按时提交考核结果扣</w:t>
            </w:r>
            <w: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  <w:t>5分/次。</w:t>
            </w:r>
          </w:p>
        </w:tc>
        <w:tc>
          <w:tcPr>
            <w:tcW w:w="3999" w:type="dxa"/>
            <w:vAlign w:val="center"/>
          </w:tcPr>
          <w:p w14:paraId="6B4D645A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服务商根据岗位类别及需求制订科学可行的考核方案。</w:t>
            </w:r>
          </w:p>
        </w:tc>
      </w:tr>
      <w:tr w14:paraId="67480FE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08" w:hRule="atLeast"/>
          <w:jc w:val="center"/>
        </w:trPr>
        <w:tc>
          <w:tcPr>
            <w:tcW w:w="950" w:type="dxa"/>
            <w:vAlign w:val="center"/>
          </w:tcPr>
          <w:p w14:paraId="128C2C90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vAlign w:val="center"/>
          </w:tcPr>
          <w:p w14:paraId="4BE7EB73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  <w:t>16.服务商对服务人员进行岗前培训，岗前培训内容包括但不限于岗位职责、岗位要求</w:t>
            </w:r>
          </w:p>
        </w:tc>
        <w:tc>
          <w:tcPr>
            <w:tcW w:w="2246" w:type="dxa"/>
            <w:vAlign w:val="center"/>
          </w:tcPr>
          <w:p w14:paraId="223DDC06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入职前未进行岗前培训的扣</w:t>
            </w:r>
            <w: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  <w:t>1分/人次。</w:t>
            </w:r>
          </w:p>
        </w:tc>
        <w:tc>
          <w:tcPr>
            <w:tcW w:w="3999" w:type="dxa"/>
            <w:vAlign w:val="center"/>
          </w:tcPr>
          <w:p w14:paraId="161A1228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</w:p>
        </w:tc>
      </w:tr>
      <w:tr w14:paraId="2702D7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18" w:hRule="atLeast"/>
          <w:jc w:val="center"/>
        </w:trPr>
        <w:tc>
          <w:tcPr>
            <w:tcW w:w="950" w:type="dxa"/>
            <w:vAlign w:val="center"/>
          </w:tcPr>
          <w:p w14:paraId="0DBB7F15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vAlign w:val="center"/>
          </w:tcPr>
          <w:p w14:paraId="49F71D98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  <w:t>17.入职手续材料齐全</w:t>
            </w:r>
          </w:p>
        </w:tc>
        <w:tc>
          <w:tcPr>
            <w:tcW w:w="2246" w:type="dxa"/>
            <w:vAlign w:val="center"/>
          </w:tcPr>
          <w:p w14:paraId="72B72764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扣</w:t>
            </w:r>
            <w: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  <w:t>1分/人次</w:t>
            </w:r>
          </w:p>
        </w:tc>
        <w:tc>
          <w:tcPr>
            <w:tcW w:w="3999" w:type="dxa"/>
            <w:vAlign w:val="center"/>
          </w:tcPr>
          <w:p w14:paraId="4F6F7D68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服务商按照采购人入职材料清单办理入职手续，并将入职材料复印给采购方备案。</w:t>
            </w:r>
          </w:p>
        </w:tc>
      </w:tr>
      <w:tr w14:paraId="3282C9E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50" w:type="dxa"/>
            <w:vMerge w:val="restart"/>
            <w:vAlign w:val="center"/>
          </w:tcPr>
          <w:p w14:paraId="664F9E0D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二、日常工作</w:t>
            </w:r>
          </w:p>
        </w:tc>
        <w:tc>
          <w:tcPr>
            <w:tcW w:w="2505" w:type="dxa"/>
            <w:vAlign w:val="center"/>
          </w:tcPr>
          <w:p w14:paraId="2664B5C1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1</w:t>
            </w:r>
            <w: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员工不熟悉各项业务流程。</w:t>
            </w:r>
          </w:p>
        </w:tc>
        <w:tc>
          <w:tcPr>
            <w:tcW w:w="2246" w:type="dxa"/>
            <w:vAlign w:val="center"/>
          </w:tcPr>
          <w:p w14:paraId="1C530120">
            <w:pPr>
              <w:jc w:val="center"/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扣1分/人</w:t>
            </w:r>
          </w:p>
        </w:tc>
        <w:tc>
          <w:tcPr>
            <w:tcW w:w="3999" w:type="dxa"/>
            <w:vAlign w:val="center"/>
          </w:tcPr>
          <w:p w14:paraId="3029F73A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扣罚50元/人/次，采购人有权要求更换相关人员并追究有关责任，服务商应按采购人要求更换人员并承担相关责任。</w:t>
            </w:r>
          </w:p>
        </w:tc>
      </w:tr>
      <w:tr w14:paraId="47B2B0A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50" w:type="dxa"/>
            <w:vMerge w:val="continue"/>
            <w:vAlign w:val="center"/>
          </w:tcPr>
          <w:p w14:paraId="2C255DE3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vAlign w:val="center"/>
          </w:tcPr>
          <w:p w14:paraId="6B477DD7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2</w:t>
            </w:r>
            <w: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员工不能按要求、按时完成本职工作。</w:t>
            </w:r>
          </w:p>
        </w:tc>
        <w:tc>
          <w:tcPr>
            <w:tcW w:w="2246" w:type="dxa"/>
            <w:vAlign w:val="center"/>
          </w:tcPr>
          <w:p w14:paraId="18750AC7">
            <w:pPr>
              <w:jc w:val="center"/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扣3分/人/次</w:t>
            </w:r>
          </w:p>
        </w:tc>
        <w:tc>
          <w:tcPr>
            <w:tcW w:w="3999" w:type="dxa"/>
            <w:vAlign w:val="center"/>
          </w:tcPr>
          <w:p w14:paraId="541D531B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扣罚20</w:t>
            </w:r>
            <w: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  <w:t>0</w:t>
            </w: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元/人/次，采购人有权要求更换相关人员并追究有关责任，服务商应按采购人要求更换人员并承担相关责任。</w:t>
            </w:r>
          </w:p>
        </w:tc>
      </w:tr>
      <w:tr w14:paraId="156241D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6" w:hRule="atLeast"/>
          <w:jc w:val="center"/>
        </w:trPr>
        <w:tc>
          <w:tcPr>
            <w:tcW w:w="950" w:type="dxa"/>
            <w:vMerge w:val="continue"/>
            <w:vAlign w:val="center"/>
          </w:tcPr>
          <w:p w14:paraId="38B2C2E6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vAlign w:val="center"/>
          </w:tcPr>
          <w:p w14:paraId="2DEB58B2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3</w:t>
            </w:r>
            <w: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经核实的患者投诉事件中责任人。</w:t>
            </w:r>
          </w:p>
        </w:tc>
        <w:tc>
          <w:tcPr>
            <w:tcW w:w="2246" w:type="dxa"/>
            <w:vAlign w:val="center"/>
          </w:tcPr>
          <w:p w14:paraId="4278DC15">
            <w:pPr>
              <w:jc w:val="center"/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扣3分/人/次</w:t>
            </w:r>
          </w:p>
        </w:tc>
        <w:tc>
          <w:tcPr>
            <w:tcW w:w="3999" w:type="dxa"/>
            <w:vAlign w:val="center"/>
          </w:tcPr>
          <w:p w14:paraId="09736A6C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扣罚200元/人/次，采购人有权要求更换相关人员并追究有关责任，服务商应按采购人要求更换人员并承担相关责任。</w:t>
            </w:r>
          </w:p>
        </w:tc>
      </w:tr>
      <w:tr w14:paraId="437324E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50" w:type="dxa"/>
            <w:vMerge w:val="continue"/>
            <w:vAlign w:val="center"/>
          </w:tcPr>
          <w:p w14:paraId="6CD03D52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vAlign w:val="center"/>
          </w:tcPr>
          <w:p w14:paraId="5DEA3DAF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4</w:t>
            </w:r>
            <w: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 xml:space="preserve"> 经核实的医疗事故或医疗差错。</w:t>
            </w:r>
          </w:p>
        </w:tc>
        <w:tc>
          <w:tcPr>
            <w:tcW w:w="2246" w:type="dxa"/>
            <w:vAlign w:val="center"/>
          </w:tcPr>
          <w:p w14:paraId="084C7977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扣1</w:t>
            </w:r>
            <w: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  <w:t>0</w:t>
            </w: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-15分/宗（根据事件性质、严重程度和当事人承担责任）。</w:t>
            </w:r>
          </w:p>
        </w:tc>
        <w:tc>
          <w:tcPr>
            <w:tcW w:w="3999" w:type="dxa"/>
            <w:vAlign w:val="center"/>
          </w:tcPr>
          <w:p w14:paraId="4B538ED9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扣罚</w:t>
            </w:r>
            <w: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  <w:t>2000</w:t>
            </w: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元-</w:t>
            </w:r>
            <w: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  <w:t>5000</w:t>
            </w: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元/宗，采购人有权要求更换相关人员并追究有关责任，服务商应按采购人要求更换人员并承担相关责任。</w:t>
            </w:r>
          </w:p>
        </w:tc>
      </w:tr>
      <w:tr w14:paraId="44E4DAE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950" w:type="dxa"/>
            <w:vMerge w:val="continue"/>
            <w:vAlign w:val="center"/>
          </w:tcPr>
          <w:p w14:paraId="59B5D5A2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vAlign w:val="center"/>
          </w:tcPr>
          <w:p w14:paraId="343CC568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5</w:t>
            </w:r>
            <w: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违反信息安全，泄露医院或患者相关信息。</w:t>
            </w:r>
          </w:p>
        </w:tc>
        <w:tc>
          <w:tcPr>
            <w:tcW w:w="2246" w:type="dxa"/>
            <w:vAlign w:val="center"/>
          </w:tcPr>
          <w:p w14:paraId="060F8774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扣1</w:t>
            </w:r>
            <w: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  <w:t>0</w:t>
            </w: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-15分/宗（根据事件性质、严重程度和当事人承担责任）。</w:t>
            </w:r>
          </w:p>
        </w:tc>
        <w:tc>
          <w:tcPr>
            <w:tcW w:w="3999" w:type="dxa"/>
            <w:vAlign w:val="center"/>
          </w:tcPr>
          <w:p w14:paraId="03496D64">
            <w:pP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扣罚</w:t>
            </w:r>
            <w: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  <w:t>2000</w:t>
            </w: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元-</w:t>
            </w:r>
            <w:r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  <w:t>5000</w:t>
            </w: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元/宗，采购人有权要求更换相关人员并追究有关责任，服务商应按采购人要求更换人员并承担相关责任。</w:t>
            </w:r>
          </w:p>
        </w:tc>
      </w:tr>
      <w:tr w14:paraId="4ABE87F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82" w:hRule="atLeast"/>
          <w:jc w:val="center"/>
        </w:trPr>
        <w:tc>
          <w:tcPr>
            <w:tcW w:w="9700" w:type="dxa"/>
            <w:gridSpan w:val="4"/>
            <w:vAlign w:val="center"/>
          </w:tcPr>
          <w:p w14:paraId="2E2FA5F0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被考核单位负责人确认：                                委托方考核:</w:t>
            </w:r>
          </w:p>
          <w:p w14:paraId="7081A959">
            <w:pPr>
              <w:rPr>
                <w:color w:val="auto"/>
                <w:highlight w:val="none"/>
              </w:rPr>
            </w:pPr>
          </w:p>
          <w:p w14:paraId="1AFCB4F4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签名及盖章：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    </w:t>
            </w:r>
            <w:r>
              <w:rPr>
                <w:rFonts w:hint="eastAsia"/>
                <w:color w:val="auto"/>
                <w:highlight w:val="none"/>
              </w:rPr>
              <w:t xml:space="preserve">                           签名及盖章：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   </w:t>
            </w:r>
          </w:p>
          <w:p w14:paraId="0B5782B3">
            <w:pPr>
              <w:rPr>
                <w:color w:val="auto"/>
                <w:highlight w:val="none"/>
                <w:u w:val="single"/>
              </w:rPr>
            </w:pPr>
          </w:p>
          <w:p w14:paraId="26813766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 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highlight w:val="none"/>
              </w:rPr>
              <w:t>年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highlight w:val="none"/>
              </w:rPr>
              <w:t>月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highlight w:val="none"/>
              </w:rPr>
              <w:t>日</w:t>
            </w:r>
          </w:p>
        </w:tc>
      </w:tr>
    </w:tbl>
    <w:p w14:paraId="5B4BAA79">
      <w:pPr>
        <w:rPr>
          <w:rFonts w:ascii="宋体" w:hAnsi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cs="宋体"/>
          <w:color w:val="auto"/>
          <w:sz w:val="20"/>
          <w:szCs w:val="20"/>
          <w:highlight w:val="none"/>
        </w:rPr>
        <w:t>考核执行说明：</w:t>
      </w:r>
    </w:p>
    <w:p w14:paraId="5D92AC2F">
      <w:pPr>
        <w:pStyle w:val="24"/>
        <w:widowControl/>
        <w:tabs>
          <w:tab w:val="left" w:pos="315"/>
          <w:tab w:val="left" w:pos="426"/>
          <w:tab w:val="left" w:pos="993"/>
          <w:tab w:val="left" w:pos="1134"/>
          <w:tab w:val="left" w:pos="1592"/>
        </w:tabs>
        <w:snapToGrid w:val="0"/>
        <w:spacing w:line="460" w:lineRule="exact"/>
        <w:ind w:right="-237" w:firstLine="0" w:firstLineChars="0"/>
        <w:rPr>
          <w:rFonts w:ascii="宋体" w:hAnsi="宋体" w:cs="仿宋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 w:val="20"/>
          <w:szCs w:val="20"/>
          <w:highlight w:val="none"/>
        </w:rPr>
        <w:t>采购人每月按上述评分细则对服务项目进行综合考评检查，采用100分制。考核评分结果达到80分（含80分）以上为“合格”；70-80分的为“基本合格”，须按采购人要求进行整改；少于70分的为“不合格”，合同期内累积两次不合格的，采购人有权终止合同而无需对服务商进行任何赔偿。根据有关要求和规定，结合实际情况，采购人有权对此考核表指标内容、分值、考核办法作必要调整。</w:t>
      </w:r>
    </w:p>
    <w:p w14:paraId="753A4C8D">
      <w:pPr>
        <w:widowControl w:val="0"/>
        <w:spacing w:line="240" w:lineRule="auto"/>
        <w:jc w:val="both"/>
        <w:rPr>
          <w:rFonts w:ascii="宋体" w:hAnsi="宋体" w:cs="宋体"/>
          <w:b w:val="0"/>
          <w:color w:val="auto"/>
          <w:sz w:val="20"/>
          <w:szCs w:val="20"/>
          <w:highlight w:val="none"/>
        </w:rPr>
      </w:pPr>
      <w:r>
        <w:rPr>
          <w:rFonts w:hint="eastAsia"/>
          <w:color w:val="auto"/>
          <w:highlight w:val="none"/>
        </w:rPr>
        <w:t xml:space="preserve"> </w:t>
      </w:r>
    </w:p>
    <w:p w14:paraId="37E28949">
      <w:pPr>
        <w:rPr>
          <w:color w:val="auto"/>
          <w:highlight w:val="none"/>
        </w:rPr>
      </w:pPr>
    </w:p>
    <w:bookmarkEnd w:id="1"/>
    <w:sectPr>
      <w:footerReference r:id="rId3" w:type="default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923751"/>
    </w:sdtPr>
    <w:sdtContent>
      <w:p w14:paraId="270344FA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 w14:paraId="6C5DD166"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CB76C7"/>
    <w:multiLevelType w:val="singleLevel"/>
    <w:tmpl w:val="B4CB76C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D7F42D0"/>
    <w:multiLevelType w:val="singleLevel"/>
    <w:tmpl w:val="BD7F42D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BA9E7DE"/>
    <w:multiLevelType w:val="singleLevel"/>
    <w:tmpl w:val="1BA9E7D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EEFBAA6"/>
    <w:multiLevelType w:val="singleLevel"/>
    <w:tmpl w:val="6EEFBAA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yy">
    <w15:presenceInfo w15:providerId="None" w15:userId="zy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YWE4ZmRlMDc1ODk1ZGI5Yjc5YzNmNGU2OGI2ZTAifQ=="/>
  </w:docVars>
  <w:rsids>
    <w:rsidRoot w:val="00125D54"/>
    <w:rsid w:val="0000057B"/>
    <w:rsid w:val="00001860"/>
    <w:rsid w:val="000042E1"/>
    <w:rsid w:val="00031ECA"/>
    <w:rsid w:val="00034FD3"/>
    <w:rsid w:val="00041246"/>
    <w:rsid w:val="0004450A"/>
    <w:rsid w:val="00044F45"/>
    <w:rsid w:val="00046315"/>
    <w:rsid w:val="00047C3F"/>
    <w:rsid w:val="000524BC"/>
    <w:rsid w:val="00053A9F"/>
    <w:rsid w:val="0005735D"/>
    <w:rsid w:val="0006662B"/>
    <w:rsid w:val="00073B6C"/>
    <w:rsid w:val="000776EE"/>
    <w:rsid w:val="00081735"/>
    <w:rsid w:val="00086E3D"/>
    <w:rsid w:val="00093536"/>
    <w:rsid w:val="000A3458"/>
    <w:rsid w:val="000A750D"/>
    <w:rsid w:val="000C5858"/>
    <w:rsid w:val="000E0169"/>
    <w:rsid w:val="0010660C"/>
    <w:rsid w:val="0012098D"/>
    <w:rsid w:val="00125D54"/>
    <w:rsid w:val="001324CC"/>
    <w:rsid w:val="0013390A"/>
    <w:rsid w:val="0014203F"/>
    <w:rsid w:val="00150B0D"/>
    <w:rsid w:val="00167295"/>
    <w:rsid w:val="0017473F"/>
    <w:rsid w:val="00177E1E"/>
    <w:rsid w:val="00180FAD"/>
    <w:rsid w:val="00184A8F"/>
    <w:rsid w:val="00197E6C"/>
    <w:rsid w:val="001A28A9"/>
    <w:rsid w:val="001A42C6"/>
    <w:rsid w:val="001B0682"/>
    <w:rsid w:val="001B1B24"/>
    <w:rsid w:val="001C1378"/>
    <w:rsid w:val="001C7E68"/>
    <w:rsid w:val="001D2177"/>
    <w:rsid w:val="001D6FDF"/>
    <w:rsid w:val="001D75FB"/>
    <w:rsid w:val="001F1715"/>
    <w:rsid w:val="001F41A3"/>
    <w:rsid w:val="001F614A"/>
    <w:rsid w:val="001F7860"/>
    <w:rsid w:val="00204EEE"/>
    <w:rsid w:val="002200DD"/>
    <w:rsid w:val="002207E8"/>
    <w:rsid w:val="00220877"/>
    <w:rsid w:val="00232358"/>
    <w:rsid w:val="0024173F"/>
    <w:rsid w:val="00260648"/>
    <w:rsid w:val="00262BC1"/>
    <w:rsid w:val="002743C8"/>
    <w:rsid w:val="0029133C"/>
    <w:rsid w:val="002925C8"/>
    <w:rsid w:val="002B2A26"/>
    <w:rsid w:val="002B4454"/>
    <w:rsid w:val="002C20F4"/>
    <w:rsid w:val="002C74D7"/>
    <w:rsid w:val="002C79AB"/>
    <w:rsid w:val="002E2DF5"/>
    <w:rsid w:val="002E72CF"/>
    <w:rsid w:val="0031729D"/>
    <w:rsid w:val="003316C1"/>
    <w:rsid w:val="003330AD"/>
    <w:rsid w:val="003342EB"/>
    <w:rsid w:val="003350AF"/>
    <w:rsid w:val="00345ABB"/>
    <w:rsid w:val="0035198C"/>
    <w:rsid w:val="00351C09"/>
    <w:rsid w:val="00363F6D"/>
    <w:rsid w:val="0037461A"/>
    <w:rsid w:val="00384331"/>
    <w:rsid w:val="00396DCA"/>
    <w:rsid w:val="003A007C"/>
    <w:rsid w:val="003A3438"/>
    <w:rsid w:val="003C1964"/>
    <w:rsid w:val="003C66F3"/>
    <w:rsid w:val="003C69B0"/>
    <w:rsid w:val="003D1C40"/>
    <w:rsid w:val="003D286A"/>
    <w:rsid w:val="003F4B5B"/>
    <w:rsid w:val="0041116D"/>
    <w:rsid w:val="00412BCA"/>
    <w:rsid w:val="00421BE9"/>
    <w:rsid w:val="00431C0C"/>
    <w:rsid w:val="00445517"/>
    <w:rsid w:val="00450CF2"/>
    <w:rsid w:val="00452D9E"/>
    <w:rsid w:val="00453ADB"/>
    <w:rsid w:val="004573D3"/>
    <w:rsid w:val="00465861"/>
    <w:rsid w:val="00486CE1"/>
    <w:rsid w:val="004947A9"/>
    <w:rsid w:val="004A107C"/>
    <w:rsid w:val="004A44F2"/>
    <w:rsid w:val="004B462A"/>
    <w:rsid w:val="004C6989"/>
    <w:rsid w:val="004C69FC"/>
    <w:rsid w:val="004C6F8D"/>
    <w:rsid w:val="004C7121"/>
    <w:rsid w:val="004C7FCB"/>
    <w:rsid w:val="004D450C"/>
    <w:rsid w:val="004D76FA"/>
    <w:rsid w:val="004E5C7F"/>
    <w:rsid w:val="004E71F2"/>
    <w:rsid w:val="004F07E3"/>
    <w:rsid w:val="004F3428"/>
    <w:rsid w:val="00502DEA"/>
    <w:rsid w:val="00507F2E"/>
    <w:rsid w:val="00513935"/>
    <w:rsid w:val="00523481"/>
    <w:rsid w:val="0053385D"/>
    <w:rsid w:val="0054002F"/>
    <w:rsid w:val="0054017A"/>
    <w:rsid w:val="005412FA"/>
    <w:rsid w:val="005468CC"/>
    <w:rsid w:val="00551FE0"/>
    <w:rsid w:val="0055340C"/>
    <w:rsid w:val="00553606"/>
    <w:rsid w:val="00555F22"/>
    <w:rsid w:val="005577AA"/>
    <w:rsid w:val="00563FF0"/>
    <w:rsid w:val="00575DA8"/>
    <w:rsid w:val="00581BB0"/>
    <w:rsid w:val="005862C6"/>
    <w:rsid w:val="005923E2"/>
    <w:rsid w:val="0059489E"/>
    <w:rsid w:val="00597199"/>
    <w:rsid w:val="005A1D31"/>
    <w:rsid w:val="005B162A"/>
    <w:rsid w:val="005B2D8E"/>
    <w:rsid w:val="005B5560"/>
    <w:rsid w:val="005B6041"/>
    <w:rsid w:val="005C1A90"/>
    <w:rsid w:val="005C710D"/>
    <w:rsid w:val="005E0C5B"/>
    <w:rsid w:val="005E1629"/>
    <w:rsid w:val="005E7CCF"/>
    <w:rsid w:val="005F13D9"/>
    <w:rsid w:val="005F2A76"/>
    <w:rsid w:val="005F65C5"/>
    <w:rsid w:val="006016B1"/>
    <w:rsid w:val="006132DC"/>
    <w:rsid w:val="00617A6B"/>
    <w:rsid w:val="006236E1"/>
    <w:rsid w:val="00630C76"/>
    <w:rsid w:val="00632F1B"/>
    <w:rsid w:val="006360FE"/>
    <w:rsid w:val="00641064"/>
    <w:rsid w:val="00641A44"/>
    <w:rsid w:val="00643AD9"/>
    <w:rsid w:val="0064429F"/>
    <w:rsid w:val="00644557"/>
    <w:rsid w:val="0065011C"/>
    <w:rsid w:val="006537EB"/>
    <w:rsid w:val="00661BF8"/>
    <w:rsid w:val="00666261"/>
    <w:rsid w:val="0066671B"/>
    <w:rsid w:val="00667E89"/>
    <w:rsid w:val="00680F4B"/>
    <w:rsid w:val="00682296"/>
    <w:rsid w:val="006A157A"/>
    <w:rsid w:val="006C0A8B"/>
    <w:rsid w:val="006C23F2"/>
    <w:rsid w:val="006D0DD7"/>
    <w:rsid w:val="006D1966"/>
    <w:rsid w:val="006D3D93"/>
    <w:rsid w:val="006E7877"/>
    <w:rsid w:val="006F6021"/>
    <w:rsid w:val="006F6920"/>
    <w:rsid w:val="00703BC9"/>
    <w:rsid w:val="007222AF"/>
    <w:rsid w:val="00732B1C"/>
    <w:rsid w:val="00737297"/>
    <w:rsid w:val="007451A3"/>
    <w:rsid w:val="007505CE"/>
    <w:rsid w:val="0075748F"/>
    <w:rsid w:val="00767E3D"/>
    <w:rsid w:val="0078100D"/>
    <w:rsid w:val="00782008"/>
    <w:rsid w:val="0079311B"/>
    <w:rsid w:val="007A3286"/>
    <w:rsid w:val="007B1805"/>
    <w:rsid w:val="007C4473"/>
    <w:rsid w:val="007E1CBB"/>
    <w:rsid w:val="007F5053"/>
    <w:rsid w:val="008341CB"/>
    <w:rsid w:val="00835C97"/>
    <w:rsid w:val="00842FCF"/>
    <w:rsid w:val="008431F0"/>
    <w:rsid w:val="008458E4"/>
    <w:rsid w:val="00852270"/>
    <w:rsid w:val="00852C6E"/>
    <w:rsid w:val="00865982"/>
    <w:rsid w:val="008771ED"/>
    <w:rsid w:val="00881827"/>
    <w:rsid w:val="00892920"/>
    <w:rsid w:val="008A1FA2"/>
    <w:rsid w:val="008A718E"/>
    <w:rsid w:val="008B338D"/>
    <w:rsid w:val="008B6F96"/>
    <w:rsid w:val="008C06AF"/>
    <w:rsid w:val="008C1351"/>
    <w:rsid w:val="008D01EC"/>
    <w:rsid w:val="008D3254"/>
    <w:rsid w:val="008F445D"/>
    <w:rsid w:val="009016E7"/>
    <w:rsid w:val="00911EEF"/>
    <w:rsid w:val="00914BE5"/>
    <w:rsid w:val="0092142B"/>
    <w:rsid w:val="00921D4E"/>
    <w:rsid w:val="00932566"/>
    <w:rsid w:val="0094358C"/>
    <w:rsid w:val="009761B2"/>
    <w:rsid w:val="009902BA"/>
    <w:rsid w:val="00991892"/>
    <w:rsid w:val="00991DD2"/>
    <w:rsid w:val="00992C8B"/>
    <w:rsid w:val="009A63AE"/>
    <w:rsid w:val="009C0C25"/>
    <w:rsid w:val="009E66B4"/>
    <w:rsid w:val="009E7000"/>
    <w:rsid w:val="009E7A01"/>
    <w:rsid w:val="00A0372A"/>
    <w:rsid w:val="00A07670"/>
    <w:rsid w:val="00A07E38"/>
    <w:rsid w:val="00A142CD"/>
    <w:rsid w:val="00A265B9"/>
    <w:rsid w:val="00A3775C"/>
    <w:rsid w:val="00A40EBF"/>
    <w:rsid w:val="00A443A6"/>
    <w:rsid w:val="00A56BB2"/>
    <w:rsid w:val="00A62743"/>
    <w:rsid w:val="00A628F3"/>
    <w:rsid w:val="00A67C25"/>
    <w:rsid w:val="00A67F8F"/>
    <w:rsid w:val="00A73F2F"/>
    <w:rsid w:val="00A760C8"/>
    <w:rsid w:val="00A81533"/>
    <w:rsid w:val="00A84C0B"/>
    <w:rsid w:val="00A8605C"/>
    <w:rsid w:val="00AA0AF6"/>
    <w:rsid w:val="00AA7041"/>
    <w:rsid w:val="00AA7588"/>
    <w:rsid w:val="00AA78EA"/>
    <w:rsid w:val="00AB743C"/>
    <w:rsid w:val="00AD1F72"/>
    <w:rsid w:val="00AD78AD"/>
    <w:rsid w:val="00AE11BA"/>
    <w:rsid w:val="00B00F4C"/>
    <w:rsid w:val="00B018A9"/>
    <w:rsid w:val="00B1555F"/>
    <w:rsid w:val="00B25E8B"/>
    <w:rsid w:val="00B3013B"/>
    <w:rsid w:val="00B3164A"/>
    <w:rsid w:val="00B33B2F"/>
    <w:rsid w:val="00B454C8"/>
    <w:rsid w:val="00B45EE7"/>
    <w:rsid w:val="00B4684A"/>
    <w:rsid w:val="00B5089C"/>
    <w:rsid w:val="00B53173"/>
    <w:rsid w:val="00B76570"/>
    <w:rsid w:val="00B7685B"/>
    <w:rsid w:val="00B81589"/>
    <w:rsid w:val="00B83365"/>
    <w:rsid w:val="00B84D57"/>
    <w:rsid w:val="00B90646"/>
    <w:rsid w:val="00B91125"/>
    <w:rsid w:val="00B941DA"/>
    <w:rsid w:val="00BA0A4F"/>
    <w:rsid w:val="00BA0F66"/>
    <w:rsid w:val="00BA1B94"/>
    <w:rsid w:val="00BA4551"/>
    <w:rsid w:val="00BB2FC3"/>
    <w:rsid w:val="00BB725F"/>
    <w:rsid w:val="00BC1450"/>
    <w:rsid w:val="00BC3776"/>
    <w:rsid w:val="00BC3DD5"/>
    <w:rsid w:val="00BE0CB4"/>
    <w:rsid w:val="00BE15DC"/>
    <w:rsid w:val="00BF571A"/>
    <w:rsid w:val="00C025AC"/>
    <w:rsid w:val="00C04F3D"/>
    <w:rsid w:val="00C1487D"/>
    <w:rsid w:val="00C23277"/>
    <w:rsid w:val="00C305B7"/>
    <w:rsid w:val="00C4509F"/>
    <w:rsid w:val="00C567A9"/>
    <w:rsid w:val="00C834E5"/>
    <w:rsid w:val="00CA05E1"/>
    <w:rsid w:val="00CA176E"/>
    <w:rsid w:val="00CA5300"/>
    <w:rsid w:val="00CB1D40"/>
    <w:rsid w:val="00CB5F92"/>
    <w:rsid w:val="00CC5D0B"/>
    <w:rsid w:val="00CC61BB"/>
    <w:rsid w:val="00CD066A"/>
    <w:rsid w:val="00CD109C"/>
    <w:rsid w:val="00CF20C3"/>
    <w:rsid w:val="00D012A7"/>
    <w:rsid w:val="00D0174E"/>
    <w:rsid w:val="00D04886"/>
    <w:rsid w:val="00D3454A"/>
    <w:rsid w:val="00D35535"/>
    <w:rsid w:val="00D70D7E"/>
    <w:rsid w:val="00D760B6"/>
    <w:rsid w:val="00D76755"/>
    <w:rsid w:val="00D908C4"/>
    <w:rsid w:val="00D90C6E"/>
    <w:rsid w:val="00D927FA"/>
    <w:rsid w:val="00D92D37"/>
    <w:rsid w:val="00D95E85"/>
    <w:rsid w:val="00D96676"/>
    <w:rsid w:val="00D972CB"/>
    <w:rsid w:val="00DA73BC"/>
    <w:rsid w:val="00DB152D"/>
    <w:rsid w:val="00DB4719"/>
    <w:rsid w:val="00DB52FE"/>
    <w:rsid w:val="00DB5CE5"/>
    <w:rsid w:val="00DB7256"/>
    <w:rsid w:val="00DC209E"/>
    <w:rsid w:val="00DD1E39"/>
    <w:rsid w:val="00DE0A03"/>
    <w:rsid w:val="00DE17D2"/>
    <w:rsid w:val="00DE4C1C"/>
    <w:rsid w:val="00DF28A5"/>
    <w:rsid w:val="00DF5358"/>
    <w:rsid w:val="00E0138E"/>
    <w:rsid w:val="00E01481"/>
    <w:rsid w:val="00E0226C"/>
    <w:rsid w:val="00E172ED"/>
    <w:rsid w:val="00E17464"/>
    <w:rsid w:val="00E23C43"/>
    <w:rsid w:val="00E242EA"/>
    <w:rsid w:val="00E36F1C"/>
    <w:rsid w:val="00E50481"/>
    <w:rsid w:val="00E62185"/>
    <w:rsid w:val="00E6773A"/>
    <w:rsid w:val="00E7273A"/>
    <w:rsid w:val="00E74312"/>
    <w:rsid w:val="00E74E35"/>
    <w:rsid w:val="00E75515"/>
    <w:rsid w:val="00E84260"/>
    <w:rsid w:val="00E85D6F"/>
    <w:rsid w:val="00E97940"/>
    <w:rsid w:val="00EA201E"/>
    <w:rsid w:val="00EA3A11"/>
    <w:rsid w:val="00EA67ED"/>
    <w:rsid w:val="00EC05CD"/>
    <w:rsid w:val="00EC49D9"/>
    <w:rsid w:val="00EC5B70"/>
    <w:rsid w:val="00EC7FA2"/>
    <w:rsid w:val="00ED2098"/>
    <w:rsid w:val="00ED4BCA"/>
    <w:rsid w:val="00EE25C3"/>
    <w:rsid w:val="00EF1396"/>
    <w:rsid w:val="00EF4B69"/>
    <w:rsid w:val="00EF67D6"/>
    <w:rsid w:val="00F01AD1"/>
    <w:rsid w:val="00F04A02"/>
    <w:rsid w:val="00F232DC"/>
    <w:rsid w:val="00F33199"/>
    <w:rsid w:val="00F43C52"/>
    <w:rsid w:val="00F446D9"/>
    <w:rsid w:val="00F616F1"/>
    <w:rsid w:val="00F649E0"/>
    <w:rsid w:val="00F66883"/>
    <w:rsid w:val="00F7197A"/>
    <w:rsid w:val="00F81733"/>
    <w:rsid w:val="00F864EF"/>
    <w:rsid w:val="00F94BF9"/>
    <w:rsid w:val="00FD1562"/>
    <w:rsid w:val="00FD52A1"/>
    <w:rsid w:val="00FE4F52"/>
    <w:rsid w:val="00FF3C2D"/>
    <w:rsid w:val="16AC776E"/>
    <w:rsid w:val="181A6FE4"/>
    <w:rsid w:val="22991487"/>
    <w:rsid w:val="2DE34CBD"/>
    <w:rsid w:val="318323B9"/>
    <w:rsid w:val="364701B3"/>
    <w:rsid w:val="36A5061A"/>
    <w:rsid w:val="373F4A34"/>
    <w:rsid w:val="3B043B5C"/>
    <w:rsid w:val="4E6742DB"/>
    <w:rsid w:val="51DA25DF"/>
    <w:rsid w:val="560A68CD"/>
    <w:rsid w:val="671D3F9C"/>
    <w:rsid w:val="6F505F45"/>
    <w:rsid w:val="7F983B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keepNext/>
      <w:keepLines/>
      <w:adjustRightInd w:val="0"/>
      <w:snapToGrid w:val="0"/>
      <w:spacing w:beforeLines="50" w:afterLines="50" w:line="360" w:lineRule="auto"/>
      <w:jc w:val="left"/>
      <w:outlineLvl w:val="1"/>
    </w:pPr>
    <w:rPr>
      <w:rFonts w:ascii="宋体" w:hAnsi="宋体" w:cs="Arial"/>
      <w:b/>
      <w:color w:val="000000"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left="720"/>
    </w:pPr>
  </w:style>
  <w:style w:type="paragraph" w:styleId="4">
    <w:name w:val="annotation text"/>
    <w:basedOn w:val="1"/>
    <w:link w:val="17"/>
    <w:unhideWhenUsed/>
    <w:qFormat/>
    <w:uiPriority w:val="0"/>
    <w:pPr>
      <w:jc w:val="left"/>
    </w:pPr>
  </w:style>
  <w:style w:type="paragraph" w:styleId="5">
    <w:name w:val="Body Text"/>
    <w:basedOn w:val="1"/>
    <w:link w:val="19"/>
    <w:qFormat/>
    <w:uiPriority w:val="0"/>
    <w:pPr>
      <w:widowControl/>
      <w:spacing w:after="120"/>
      <w:jc w:val="left"/>
    </w:pPr>
    <w:rPr>
      <w:rFonts w:ascii="ˎ̥" w:hAnsi="ˎ̥"/>
      <w:color w:val="000000"/>
      <w:kern w:val="0"/>
      <w:sz w:val="24"/>
      <w:szCs w:val="20"/>
    </w:rPr>
  </w:style>
  <w:style w:type="paragraph" w:styleId="6">
    <w:name w:val="Body Text Indent"/>
    <w:basedOn w:val="1"/>
    <w:link w:val="20"/>
    <w:qFormat/>
    <w:uiPriority w:val="0"/>
    <w:pPr>
      <w:spacing w:after="120"/>
      <w:ind w:left="420" w:leftChars="200"/>
    </w:pPr>
    <w:rPr>
      <w:rFonts w:ascii="Times New Roman" w:hAnsi="Times New Roman"/>
      <w:kern w:val="0"/>
      <w:sz w:val="20"/>
    </w:rPr>
  </w:style>
  <w:style w:type="paragraph" w:styleId="7">
    <w:name w:val="Balloon Text"/>
    <w:basedOn w:val="1"/>
    <w:link w:val="21"/>
    <w:qFormat/>
    <w:uiPriority w:val="0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4"/>
    <w:next w:val="4"/>
    <w:link w:val="18"/>
    <w:qFormat/>
    <w:uiPriority w:val="0"/>
    <w:rPr>
      <w:b/>
      <w:bCs/>
    </w:r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character" w:customStyle="1" w:styleId="14">
    <w:name w:val="标题 2 字符"/>
    <w:basedOn w:val="12"/>
    <w:link w:val="2"/>
    <w:qFormat/>
    <w:uiPriority w:val="9"/>
    <w:rPr>
      <w:rFonts w:ascii="宋体" w:hAnsi="宋体" w:eastAsia="宋体" w:cs="Arial"/>
      <w:b/>
      <w:color w:val="000000"/>
      <w:sz w:val="28"/>
      <w:szCs w:val="28"/>
    </w:rPr>
  </w:style>
  <w:style w:type="character" w:customStyle="1" w:styleId="15">
    <w:name w:val="页眉 字符"/>
    <w:basedOn w:val="12"/>
    <w:link w:val="9"/>
    <w:qFormat/>
    <w:uiPriority w:val="0"/>
    <w:rPr>
      <w:sz w:val="18"/>
      <w:szCs w:val="18"/>
    </w:rPr>
  </w:style>
  <w:style w:type="character" w:customStyle="1" w:styleId="16">
    <w:name w:val="页脚 字符"/>
    <w:basedOn w:val="12"/>
    <w:link w:val="8"/>
    <w:qFormat/>
    <w:uiPriority w:val="99"/>
    <w:rPr>
      <w:sz w:val="18"/>
      <w:szCs w:val="18"/>
    </w:rPr>
  </w:style>
  <w:style w:type="character" w:customStyle="1" w:styleId="17">
    <w:name w:val="批注文字 字符"/>
    <w:basedOn w:val="12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8">
    <w:name w:val="批注主题 字符"/>
    <w:basedOn w:val="17"/>
    <w:link w:val="10"/>
    <w:qFormat/>
    <w:uiPriority w:val="0"/>
    <w:rPr>
      <w:rFonts w:ascii="Calibri" w:hAnsi="Calibri" w:eastAsia="宋体" w:cs="Times New Roman"/>
      <w:b/>
      <w:bCs/>
      <w:szCs w:val="24"/>
    </w:rPr>
  </w:style>
  <w:style w:type="character" w:customStyle="1" w:styleId="19">
    <w:name w:val="正文文本 字符"/>
    <w:basedOn w:val="12"/>
    <w:link w:val="5"/>
    <w:qFormat/>
    <w:uiPriority w:val="0"/>
    <w:rPr>
      <w:rFonts w:ascii="ˎ̥" w:hAnsi="ˎ̥" w:eastAsia="宋体" w:cs="Times New Roman"/>
      <w:color w:val="000000"/>
      <w:kern w:val="0"/>
      <w:sz w:val="24"/>
      <w:szCs w:val="20"/>
    </w:rPr>
  </w:style>
  <w:style w:type="character" w:customStyle="1" w:styleId="20">
    <w:name w:val="正文文本缩进 字符"/>
    <w:basedOn w:val="12"/>
    <w:link w:val="6"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character" w:customStyle="1" w:styleId="21">
    <w:name w:val="批注框文本 字符"/>
    <w:basedOn w:val="12"/>
    <w:link w:val="7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2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23">
    <w:name w:val="标题1"/>
    <w:basedOn w:val="1"/>
    <w:qFormat/>
    <w:uiPriority w:val="0"/>
    <w:pPr>
      <w:spacing w:line="360" w:lineRule="auto"/>
      <w:jc w:val="center"/>
    </w:pPr>
    <w:rPr>
      <w:rFonts w:ascii="黑体" w:eastAsia="黑体"/>
      <w:b/>
      <w:sz w:val="44"/>
    </w:rPr>
  </w:style>
  <w:style w:type="paragraph" w:customStyle="1" w:styleId="24">
    <w:name w:val="_Style 5"/>
    <w:basedOn w:val="1"/>
    <w:qFormat/>
    <w:uiPriority w:val="0"/>
    <w:pPr>
      <w:ind w:firstLine="420" w:firstLineChars="200"/>
    </w:pPr>
  </w:style>
  <w:style w:type="paragraph" w:customStyle="1" w:styleId="25">
    <w:name w:val="正文-段落"/>
    <w:qFormat/>
    <w:uiPriority w:val="0"/>
    <w:pPr>
      <w:spacing w:line="360" w:lineRule="auto"/>
      <w:ind w:firstLine="200" w:firstLineChars="200"/>
    </w:pPr>
    <w:rPr>
      <w:rFonts w:ascii="Calibri" w:hAnsi="Calibri" w:eastAsia="宋体" w:cs="宋体"/>
      <w:sz w:val="24"/>
      <w:szCs w:val="24"/>
      <w:lang w:val="en-US" w:eastAsia="zh-CN" w:bidi="ar-SA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4440</Words>
  <Characters>4522</Characters>
  <Lines>130</Lines>
  <Paragraphs>36</Paragraphs>
  <TotalTime>98</TotalTime>
  <ScaleCrop>false</ScaleCrop>
  <LinksUpToDate>false</LinksUpToDate>
  <CharactersWithSpaces>4530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2021-06-03T03:10:00Z</dcterms:created>
  <dc:creator>Windows User</dc:creator>
  <cp:lastModifiedBy>Chloe 。</cp:lastModifiedBy>
  <cp:lastPrinted>2021-06-02T03:37:00Z</cp:lastPrinted>
  <dcterms:modified xsi:type="dcterms:W3CDTF">2024-11-20T08:17:04Z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242FFF1307224C00B694AE067480105C_13</vt:lpwstr>
  </property>
</Properties>
</file>