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442000-2025-00259</w:t>
      </w:r>
    </w:p>
    <w:p>
      <w:pPr>
        <w:pStyle w:val="null3"/>
        <w:jc w:val="center"/>
        <w:outlineLvl w:val="3"/>
      </w:pPr>
      <w:r>
        <w:rPr>
          <w:sz w:val="24"/>
          <w:b/>
        </w:rPr>
        <w:t>采购项目编号：</w:t>
      </w:r>
      <w:r>
        <w:rPr>
          <w:sz w:val="24"/>
          <w:b/>
        </w:rPr>
        <w:t>ZZ22414438</w:t>
      </w:r>
    </w:p>
    <w:p>
      <w:pPr>
        <w:pStyle w:val="null3"/>
        <w:jc w:val="center"/>
        <w:outlineLvl w:val="3"/>
      </w:pPr>
      <w:r>
        <w:rPr>
          <w:sz w:val="24"/>
          <w:b/>
        </w:rPr>
        <w:t>项目名称：</w:t>
      </w:r>
      <w:r>
        <w:rPr>
          <w:sz w:val="24"/>
          <w:b/>
        </w:rPr>
        <w:t>中山市中医院2025-2028年辅助岗位服务外包项目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中山市中医院</w:t>
      </w:r>
      <w:r>
        <w:rPr/>
        <w:t>的委托，采用</w:t>
      </w:r>
      <w:r>
        <w:rPr/>
        <w:t>公开招标</w:t>
      </w:r>
      <w:r>
        <w:rPr/>
        <w:t>方式组织采购</w:t>
      </w:r>
      <w:r>
        <w:rPr/>
        <w:t>中山市中医院2025-2028年辅助岗位服务外包项目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中山市中医院2025-2028年辅助岗位服务外包项目</w:t>
      </w:r>
    </w:p>
    <w:p>
      <w:pPr>
        <w:pStyle w:val="null3"/>
        <w:ind w:firstLine="480"/>
      </w:pPr>
      <w:r>
        <w:rPr/>
        <w:t>采购计划编号：</w:t>
      </w:r>
      <w:r>
        <w:rPr/>
        <w:t>442000-2025-00259</w:t>
      </w:r>
    </w:p>
    <w:p>
      <w:pPr>
        <w:pStyle w:val="null3"/>
        <w:ind w:firstLine="480"/>
      </w:pPr>
      <w:r>
        <w:rPr/>
        <w:t>采购项目编号：</w:t>
      </w:r>
      <w:r>
        <w:rPr/>
        <w:t>ZZ22414438</w:t>
      </w:r>
    </w:p>
    <w:p>
      <w:pPr>
        <w:pStyle w:val="null3"/>
        <w:ind w:firstLine="480"/>
      </w:pPr>
      <w:r>
        <w:rPr/>
        <w:t>采购方式：</w:t>
      </w:r>
      <w:r>
        <w:rPr/>
        <w:t>公开招标</w:t>
      </w:r>
    </w:p>
    <w:p>
      <w:pPr>
        <w:pStyle w:val="null3"/>
        <w:ind w:firstLine="480"/>
      </w:pPr>
      <w:r>
        <w:rPr/>
        <w:t>预算金额：</w:t>
      </w:r>
      <w:r>
        <w:rPr/>
        <w:t>79,427,258.00</w:t>
      </w:r>
      <w:r>
        <w:rPr/>
        <w:t>元</w:t>
      </w:r>
    </w:p>
    <w:p>
      <w:pPr>
        <w:pStyle w:val="null3"/>
        <w:outlineLvl w:val="3"/>
      </w:pPr>
      <w:r>
        <w:rPr>
          <w:sz w:val="24"/>
          <w:b/>
        </w:rPr>
        <w:t>2.项目内容及需求情况（采购项目技术规格、参数及要求）</w:t>
      </w:r>
    </w:p>
    <w:p>
      <w:pPr>
        <w:pStyle w:val="null3"/>
      </w:pPr>
      <w:r>
        <w:rPr/>
        <w:t>采购包1(辅助岗位服务外包项目):</w:t>
      </w:r>
    </w:p>
    <w:p>
      <w:pPr>
        <w:pStyle w:val="null3"/>
      </w:pPr>
      <w:r>
        <w:rPr/>
        <w:t>采购包预算金额：79,427,258.00元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辅助岗位服务外包</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合同履行期限：三年（履约起止时间以合同签订时间为准）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2024年1月至今任意一个月份财务报表）关键页或由基本开户银行出具的资信证明或政府采购专业担保机构出具的投标担保函或提供《政府采购供应商资格信用承诺函》（格式详见招标公告附件））。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5）参加采购活动前3年内，在经营活动中没有重大违法记录：参照投标函相关承诺格式内容或提供《政府采购供应商资格信用承诺函》（格式详见招标公告附件）。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采购包1（辅助岗位服务外包项目）：</w:t>
      </w:r>
      <w:r>
        <w:rPr/>
        <w:t>采购包整体专门面向中小企业：供应商须为符合《政府采购促进中小企业发展管理办法》（财库〔2020〕46号）规定和《中小企业划型标准规定》（工信部联企业[2011]300号）的中型、小型、微型企业。（本项目采购标的对应行业：租赁和商务服务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采购包1（辅助岗位服务外包项目）：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3)无围标、串标行为（出具《无围标、串标行为承诺书》）。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中山市中医院</w:t>
      </w:r>
    </w:p>
    <w:p>
      <w:pPr>
        <w:pStyle w:val="null3"/>
        <w:ind w:firstLine="480"/>
      </w:pPr>
      <w:r>
        <w:rPr/>
        <w:t xml:space="preserve"> 地址：</w:t>
      </w:r>
      <w:r>
        <w:rPr/>
        <w:t>中山市西区康欣路3号</w:t>
      </w:r>
    </w:p>
    <w:p>
      <w:pPr>
        <w:pStyle w:val="null3"/>
        <w:ind w:firstLine="480"/>
      </w:pPr>
      <w:r>
        <w:rPr/>
        <w:t xml:space="preserve"> 联系方式：</w:t>
      </w:r>
      <w:r>
        <w:rPr/>
        <w:t>0760-89989587</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w:t>
      </w:r>
      <w:r>
        <w:rPr/>
        <w:t>项目名称：中山市中医院</w:t>
      </w:r>
      <w:r>
        <w:rPr/>
        <w:t>2025-2028</w:t>
      </w:r>
      <w:r>
        <w:rPr/>
        <w:t>年辅助岗位服务外包项目</w:t>
      </w:r>
    </w:p>
    <w:p>
      <w:pPr>
        <w:pStyle w:val="null3"/>
        <w:ind w:firstLine="480"/>
      </w:pPr>
      <w:r>
        <w:rPr/>
        <w:t>2</w:t>
      </w:r>
      <w:r>
        <w:rPr/>
        <w:t>.</w:t>
      </w:r>
      <w:r>
        <w:rPr/>
        <w:t>服务期为：三年（履约起止时间以合同签订时间为准）。</w:t>
      </w:r>
    </w:p>
    <w:p>
      <w:pPr>
        <w:pStyle w:val="null3"/>
        <w:ind w:firstLine="480"/>
      </w:pPr>
      <w:r>
        <w:rPr/>
        <w:t>3</w:t>
      </w:r>
      <w:r>
        <w:rPr/>
        <w:t>.</w:t>
      </w:r>
      <w:r>
        <w:rPr/>
        <w:t>项目采购预算：三年预算总金额为人民币</w:t>
      </w:r>
      <w:r>
        <w:rPr/>
        <w:t>79</w:t>
      </w:r>
      <w:r>
        <w:rPr/>
        <w:t>,</w:t>
      </w:r>
      <w:r>
        <w:rPr/>
        <w:t>427</w:t>
      </w:r>
      <w:r>
        <w:rPr/>
        <w:t>,</w:t>
      </w:r>
      <w:r>
        <w:rPr/>
        <w:t>258.00</w:t>
      </w:r>
      <w:r>
        <w:rPr/>
        <w:t>元。</w:t>
      </w:r>
    </w:p>
    <w:p>
      <w:pPr>
        <w:pStyle w:val="null3"/>
        <w:ind w:firstLine="480"/>
      </w:pPr>
      <w:r>
        <w:rPr/>
        <w:t>4.</w:t>
      </w:r>
      <w:r>
        <w:rPr/>
        <w:t>项目终止：服务期结束或累计结算金额达到项目预算金额时项目终止，以先到者为准。</w:t>
      </w:r>
    </w:p>
    <w:p>
      <w:pPr>
        <w:pStyle w:val="null3"/>
        <w:ind w:firstLine="480"/>
      </w:pPr>
      <w:r>
        <w:rPr/>
        <w:t>4</w:t>
      </w:r>
      <w:r>
        <w:rPr/>
        <w:t>.</w:t>
      </w:r>
      <w:r>
        <w:rPr/>
        <w:t>采购人对服务外包人员在业务工作上进行指导和监督。</w:t>
      </w:r>
    </w:p>
    <w:p>
      <w:pPr>
        <w:pStyle w:val="null3"/>
        <w:ind w:firstLine="480"/>
      </w:pPr>
      <w:r>
        <w:rPr/>
        <w:t>5</w:t>
      </w:r>
      <w:r>
        <w:rPr/>
        <w:t>.</w:t>
      </w:r>
      <w:r>
        <w:rPr/>
        <w:t>报价采用报总价形式。</w:t>
      </w:r>
      <w:r>
        <w:rPr/>
        <w:t>报价</w:t>
      </w:r>
      <w:r>
        <w:rPr/>
        <w:t>包括以下三部分组成：</w:t>
      </w:r>
    </w:p>
    <w:p>
      <w:pPr>
        <w:pStyle w:val="null3"/>
        <w:ind w:firstLine="656"/>
      </w:pPr>
      <w:r>
        <w:rPr/>
        <w:t>5.1</w:t>
      </w:r>
      <w:r>
        <w:rPr/>
        <w:t>辅助岗位费用</w:t>
      </w:r>
      <w:r>
        <w:rPr/>
        <w:t>：</w:t>
      </w:r>
      <w:r>
        <w:rPr/>
        <w:t>包括：</w:t>
      </w:r>
      <w:r>
        <w:rPr/>
        <w:t>辅助岗位</w:t>
      </w:r>
      <w:r>
        <w:rPr/>
        <w:t>服务人员</w:t>
      </w:r>
      <w:r>
        <w:rPr/>
        <w:t>工资</w:t>
      </w:r>
      <w:r>
        <w:rPr/>
        <w:t>、福利、</w:t>
      </w:r>
      <w:r>
        <w:rPr/>
        <w:t>以及</w:t>
      </w:r>
      <w:r>
        <w:rPr/>
        <w:t>养老保险、医疗保险、工伤保险、失业保险、住房公积金、税费、政策性费用</w:t>
      </w:r>
      <w:r>
        <w:rPr/>
        <w:t>等（注：</w:t>
      </w:r>
      <w:r>
        <w:rPr/>
        <w:t>三年岗位费用上限</w:t>
      </w:r>
      <w:r>
        <w:rPr/>
        <w:t>72</w:t>
      </w:r>
      <w:r>
        <w:rPr/>
        <w:t>,</w:t>
      </w:r>
      <w:r>
        <w:rPr/>
        <w:t>506</w:t>
      </w:r>
      <w:r>
        <w:rPr/>
        <w:t>,</w:t>
      </w:r>
      <w:r>
        <w:rPr/>
        <w:t>298</w:t>
      </w:r>
      <w:r>
        <w:rPr/>
        <w:t>元）</w:t>
      </w:r>
      <w:r>
        <w:rPr/>
        <w:t>。</w:t>
      </w:r>
    </w:p>
    <w:p>
      <w:pPr>
        <w:pStyle w:val="null3"/>
        <w:ind w:firstLine="656"/>
      </w:pPr>
      <w:r>
        <w:rPr/>
        <w:t>5.2</w:t>
      </w:r>
      <w:r>
        <w:rPr/>
        <w:t>其他费用：</w:t>
      </w:r>
      <w:r>
        <w:rPr/>
        <w:t>三年服务期合计金额为</w:t>
      </w:r>
      <w:r>
        <w:rPr/>
        <w:t>470</w:t>
      </w:r>
      <w:r>
        <w:rPr/>
        <w:t>万元整。</w:t>
      </w:r>
    </w:p>
    <w:p>
      <w:pPr>
        <w:pStyle w:val="null3"/>
        <w:ind w:firstLine="656"/>
      </w:pPr>
      <w:r>
        <w:rPr/>
        <w:t>5.3</w:t>
      </w:r>
      <w:r>
        <w:rPr/>
        <w:t>综合管理服务费：平均费用不超</w:t>
      </w:r>
      <w:r>
        <w:rPr>
          <w:b/>
        </w:rPr>
        <w:t>280</w:t>
      </w:r>
      <w:r>
        <w:rPr>
          <w:b/>
        </w:rPr>
        <w:t>元</w:t>
      </w:r>
      <w:r>
        <w:rPr>
          <w:b/>
        </w:rPr>
        <w:t>/</w:t>
      </w:r>
      <w:r>
        <w:rPr>
          <w:b/>
        </w:rPr>
        <w:t>人</w:t>
      </w:r>
      <w:r>
        <w:rPr>
          <w:b/>
        </w:rPr>
        <w:t>/</w:t>
      </w:r>
      <w:r>
        <w:rPr>
          <w:b/>
        </w:rPr>
        <w:t>月。</w:t>
      </w:r>
    </w:p>
    <w:p>
      <w:pPr>
        <w:pStyle w:val="null3"/>
        <w:ind w:firstLine="480"/>
      </w:pPr>
      <w:r>
        <w:rPr/>
        <w:t>注：</w:t>
      </w:r>
      <w:r>
        <w:rPr/>
        <w:t>1.</w:t>
      </w:r>
      <w:r>
        <w:rPr/>
        <w:t>上述三部分费用均包含税费，最终税费计算需按实际报价或相关税务规定为准。</w:t>
      </w:r>
    </w:p>
    <w:p>
      <w:pPr>
        <w:pStyle w:val="null3"/>
        <w:ind w:firstLine="480"/>
      </w:pPr>
      <w:r>
        <w:rPr/>
        <w:t>2.</w:t>
      </w:r>
      <w:r>
        <w:rPr>
          <w:b/>
        </w:rPr>
        <w:t>投标</w:t>
      </w:r>
      <w:r>
        <w:rPr>
          <w:b/>
        </w:rPr>
        <w:t>人须根据采购人提供的报价参考表，列明服务期中</w:t>
      </w:r>
      <w:r>
        <w:rPr>
          <w:b/>
        </w:rPr>
        <w:t>4</w:t>
      </w:r>
      <w:r>
        <w:rPr>
          <w:b/>
        </w:rPr>
        <w:t>个阶段中的各阶段辅助岗位费用单价和合计金额，并列明各阶段综合管理服务费明细和合计金额（平均费用不超</w:t>
      </w:r>
      <w:r>
        <w:rPr>
          <w:b/>
        </w:rPr>
        <w:t>280</w:t>
      </w:r>
      <w:r>
        <w:rPr>
          <w:b/>
        </w:rPr>
        <w:t>元</w:t>
      </w:r>
      <w:r>
        <w:rPr>
          <w:b/>
        </w:rPr>
        <w:t>/</w:t>
      </w:r>
      <w:r>
        <w:rPr>
          <w:b/>
        </w:rPr>
        <w:t>人</w:t>
      </w:r>
      <w:r>
        <w:rPr>
          <w:b/>
        </w:rPr>
        <w:t>/</w:t>
      </w:r>
      <w:r>
        <w:rPr>
          <w:b/>
        </w:rPr>
        <w:t>月），最终报价以：薪资合计加四个阶段综合管理服务费合计加其他费用</w:t>
      </w:r>
      <w:r>
        <w:rPr>
          <w:b/>
        </w:rPr>
        <w:t>470</w:t>
      </w:r>
      <w:r>
        <w:rPr>
          <w:b/>
        </w:rPr>
        <w:t>万元三个部分的</w:t>
      </w:r>
      <w:r>
        <w:rPr>
          <w:b/>
        </w:rPr>
        <w:t>总金额作为总报价</w:t>
      </w:r>
      <w:r>
        <w:rPr/>
        <w:t>。</w:t>
      </w:r>
      <w:r>
        <w:rPr>
          <w:b/>
        </w:rPr>
        <w:t>以下为报价参考表：</w:t>
      </w:r>
    </w:p>
    <w:tbl>
      <w:tblPr>
        <w:tblW w:w="0" w:type="auto"/>
        <w:tblBorders>
          <w:top w:val="none" w:color="000000" w:sz="4"/>
          <w:left w:val="none" w:color="000000" w:sz="4"/>
          <w:bottom w:val="none" w:color="000000" w:sz="4"/>
          <w:right w:val="none" w:color="000000" w:sz="4"/>
          <w:insideH w:val="none"/>
          <w:insideV w:val="none"/>
        </w:tblBorders>
      </w:tblPr>
      <w:tblGrid>
        <w:gridCol w:w="707"/>
        <w:gridCol w:w="1016"/>
        <w:gridCol w:w="913"/>
        <w:gridCol w:w="1325"/>
        <w:gridCol w:w="1414"/>
        <w:gridCol w:w="1001"/>
        <w:gridCol w:w="957"/>
        <w:gridCol w:w="972"/>
      </w:tblGrid>
      <w:tr>
        <w:tc>
          <w:tcPr>
            <w:tcW w:type="dxa" w:w="8305"/>
            <w:gridSpan w:val="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8"/>
                <w:b/>
              </w:rPr>
              <w:t>中山市中医院</w:t>
            </w:r>
            <w:r>
              <w:rPr>
                <w:sz w:val="28"/>
                <w:b/>
              </w:rPr>
              <w:t>2025-2028年辅助岗位服务外包项目报价参考表</w:t>
            </w:r>
          </w:p>
        </w:tc>
      </w:tr>
      <w:tr>
        <w:tc>
          <w:tcPr>
            <w:tcW w:type="dxa" w:w="707"/>
            <w:vMerge w:val="restart"/>
            <w:tcBorders>
              <w:top w:val="none" w:color="000000" w:sz="4"/>
              <w:left w:val="single" w:color="000000" w:sz="4"/>
              <w:bottom w:val="single" w:color="000000" w:sz="4"/>
              <w:right w:val="single" w:color="000000" w:sz="4"/>
            </w:tcBorders>
            <w:shd w:fill="FABF8F"/>
            <w:tcMar>
              <w:top w:type="dxa" w:w="0"/>
              <w:left w:type="dxa" w:w="105"/>
              <w:bottom w:type="dxa" w:w="0"/>
              <w:right w:type="dxa" w:w="105"/>
            </w:tcMar>
            <w:vAlign w:val="top"/>
          </w:tcPr>
          <w:p>
            <w:pPr>
              <w:pStyle w:val="null3"/>
              <w:jc w:val="center"/>
            </w:pPr>
            <w:r>
              <w:rPr>
                <w:sz w:val="24"/>
                <w:b/>
              </w:rPr>
              <w:t>序号</w:t>
            </w:r>
          </w:p>
        </w:tc>
        <w:tc>
          <w:tcPr>
            <w:tcW w:type="dxa" w:w="1016"/>
            <w:vMerge w:val="restart"/>
            <w:tcBorders>
              <w:top w:val="single" w:color="000000" w:sz="4"/>
              <w:left w:val="none" w:color="000000" w:sz="4"/>
              <w:bottom w:val="single" w:color="000000" w:sz="4"/>
              <w:right w:val="single" w:color="000000" w:sz="4"/>
            </w:tcBorders>
            <w:shd w:fill="FABF8F"/>
            <w:tcMar>
              <w:top w:type="dxa" w:w="0"/>
              <w:left w:type="dxa" w:w="105"/>
              <w:bottom w:type="dxa" w:w="0"/>
              <w:right w:type="dxa" w:w="105"/>
            </w:tcMar>
            <w:vAlign w:val="top"/>
          </w:tcPr>
          <w:p>
            <w:pPr>
              <w:pStyle w:val="null3"/>
              <w:jc w:val="center"/>
            </w:pPr>
            <w:r>
              <w:rPr>
                <w:sz w:val="24"/>
                <w:b/>
              </w:rPr>
              <w:t>岗位名称</w:t>
            </w:r>
          </w:p>
        </w:tc>
        <w:tc>
          <w:tcPr>
            <w:tcW w:type="dxa" w:w="913"/>
            <w:vMerge w:val="restart"/>
            <w:tcBorders>
              <w:top w:val="single" w:color="000000" w:sz="4"/>
              <w:left w:val="none" w:color="000000" w:sz="4"/>
              <w:bottom w:val="single" w:color="000000" w:sz="4"/>
              <w:right w:val="single" w:color="000000" w:sz="4"/>
            </w:tcBorders>
            <w:shd w:fill="FABF8F"/>
            <w:tcMar>
              <w:top w:type="dxa" w:w="0"/>
              <w:left w:type="dxa" w:w="105"/>
              <w:bottom w:type="dxa" w:w="0"/>
              <w:right w:type="dxa" w:w="105"/>
            </w:tcMar>
            <w:vAlign w:val="top"/>
          </w:tcPr>
          <w:p>
            <w:pPr>
              <w:pStyle w:val="null3"/>
              <w:jc w:val="center"/>
            </w:pPr>
            <w:r>
              <w:rPr>
                <w:sz w:val="24"/>
                <w:b/>
              </w:rPr>
              <w:t>学历要求</w:t>
            </w:r>
          </w:p>
        </w:tc>
        <w:tc>
          <w:tcPr>
            <w:tcW w:type="dxa" w:w="1325"/>
            <w:vMerge w:val="restart"/>
            <w:tcBorders>
              <w:top w:val="single" w:color="000000" w:sz="4"/>
              <w:left w:val="none" w:color="000000" w:sz="4"/>
              <w:bottom w:val="single" w:color="000000" w:sz="4"/>
              <w:right w:val="single" w:color="000000" w:sz="4"/>
            </w:tcBorders>
            <w:shd w:fill="FABF8F"/>
            <w:tcMar>
              <w:top w:type="dxa" w:w="0"/>
              <w:left w:type="dxa" w:w="105"/>
              <w:bottom w:type="dxa" w:w="0"/>
              <w:right w:type="dxa" w:w="105"/>
            </w:tcMar>
            <w:vAlign w:val="top"/>
          </w:tcPr>
          <w:p>
            <w:pPr>
              <w:pStyle w:val="null3"/>
              <w:jc w:val="center"/>
            </w:pPr>
            <w:r>
              <w:rPr>
                <w:sz w:val="24"/>
                <w:b/>
              </w:rPr>
              <w:t>辅助岗位费用参考价（元）</w:t>
            </w:r>
          </w:p>
        </w:tc>
        <w:tc>
          <w:tcPr>
            <w:tcW w:type="dxa" w:w="4344"/>
            <w:gridSpan w:val="4"/>
            <w:tcBorders>
              <w:top w:val="single" w:color="000000" w:sz="4"/>
              <w:left w:val="none" w:color="000000" w:sz="4"/>
              <w:bottom w:val="single" w:color="000000" w:sz="4"/>
              <w:right w:val="single" w:color="000000" w:sz="4"/>
            </w:tcBorders>
            <w:shd w:fill="B7DEE8"/>
            <w:tcMar>
              <w:top w:type="dxa" w:w="0"/>
              <w:left w:type="dxa" w:w="105"/>
              <w:bottom w:type="dxa" w:w="0"/>
              <w:right w:type="dxa" w:w="105"/>
            </w:tcMar>
            <w:vAlign w:val="top"/>
          </w:tcPr>
          <w:p>
            <w:pPr>
              <w:pStyle w:val="null3"/>
              <w:jc w:val="center"/>
            </w:pPr>
            <w:r>
              <w:rPr>
                <w:sz w:val="22"/>
                <w:b/>
              </w:rPr>
              <w:t>各时间段服务人数要求</w:t>
            </w:r>
          </w:p>
        </w:tc>
      </w:tr>
      <w:tr>
        <w:tc>
          <w:tcPr>
            <w:tcW w:type="dxa" w:w="707"/>
            <w:vMerge/>
            <w:tcBorders>
              <w:top w:val="non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913"/>
            <w:vMerge/>
            <w:tcBorders>
              <w:top w:val="single" w:color="000000" w:sz="4"/>
              <w:left w:val="none" w:color="000000" w:sz="4"/>
              <w:bottom w:val="single" w:color="000000" w:sz="4"/>
              <w:right w:val="single" w:color="000000" w:sz="4"/>
            </w:tcBorders>
          </w:tcPr>
          <w:p/>
        </w:tc>
        <w:tc>
          <w:tcPr>
            <w:tcW w:type="dxa" w:w="1325"/>
            <w:vMerge/>
            <w:tcBorders>
              <w:top w:val="single" w:color="000000" w:sz="4"/>
              <w:left w:val="none" w:color="000000" w:sz="4"/>
              <w:bottom w:val="single" w:color="000000" w:sz="4"/>
              <w:right w:val="single" w:color="000000" w:sz="4"/>
            </w:tcBorders>
          </w:tcPr>
          <w:p/>
        </w:tc>
        <w:tc>
          <w:tcPr>
            <w:tcW w:type="dxa" w:w="1414"/>
            <w:tcBorders>
              <w:top w:val="none" w:color="000000" w:sz="4"/>
              <w:left w:val="none" w:color="000000" w:sz="4"/>
              <w:bottom w:val="single" w:color="000000" w:sz="4"/>
              <w:right w:val="single" w:color="000000" w:sz="4"/>
            </w:tcBorders>
            <w:shd w:fill="FDE9D9"/>
            <w:tcMar>
              <w:top w:type="dxa" w:w="0"/>
              <w:left w:type="dxa" w:w="105"/>
              <w:bottom w:type="dxa" w:w="0"/>
              <w:right w:type="dxa" w:w="105"/>
            </w:tcMar>
            <w:vAlign w:val="top"/>
          </w:tcPr>
          <w:p>
            <w:pPr>
              <w:pStyle w:val="null3"/>
              <w:jc w:val="center"/>
            </w:pPr>
            <w:r>
              <w:rPr>
                <w:sz w:val="22"/>
              </w:rPr>
              <w:t>2025年5月-2025年6月</w:t>
            </w:r>
          </w:p>
        </w:tc>
        <w:tc>
          <w:tcPr>
            <w:tcW w:type="dxa" w:w="1001"/>
            <w:tcBorders>
              <w:top w:val="single" w:color="000000" w:sz="4"/>
              <w:left w:val="none" w:color="000000" w:sz="4"/>
              <w:bottom w:val="single" w:color="000000" w:sz="4"/>
              <w:right w:val="single" w:color="000000" w:sz="4"/>
            </w:tcBorders>
            <w:shd w:fill="FDE9D9"/>
            <w:tcMar>
              <w:top w:type="dxa" w:w="0"/>
              <w:left w:type="dxa" w:w="105"/>
              <w:bottom w:type="dxa" w:w="0"/>
              <w:right w:type="dxa" w:w="105"/>
            </w:tcMar>
            <w:vAlign w:val="top"/>
          </w:tcPr>
          <w:p>
            <w:pPr>
              <w:pStyle w:val="null3"/>
              <w:jc w:val="center"/>
            </w:pPr>
            <w:r>
              <w:rPr>
                <w:sz w:val="22"/>
              </w:rPr>
              <w:t>2025年7月-2026年6月</w:t>
            </w:r>
          </w:p>
        </w:tc>
        <w:tc>
          <w:tcPr>
            <w:tcW w:type="dxa" w:w="957"/>
            <w:tcBorders>
              <w:top w:val="single" w:color="000000" w:sz="4"/>
              <w:left w:val="none" w:color="000000" w:sz="4"/>
              <w:bottom w:val="single" w:color="000000" w:sz="4"/>
              <w:right w:val="single" w:color="000000" w:sz="4"/>
            </w:tcBorders>
            <w:shd w:fill="FDE9D9"/>
            <w:tcMar>
              <w:top w:type="dxa" w:w="0"/>
              <w:left w:type="dxa" w:w="105"/>
              <w:bottom w:type="dxa" w:w="0"/>
              <w:right w:type="dxa" w:w="105"/>
            </w:tcMar>
            <w:vAlign w:val="top"/>
          </w:tcPr>
          <w:p>
            <w:pPr>
              <w:pStyle w:val="null3"/>
              <w:jc w:val="center"/>
            </w:pPr>
            <w:r>
              <w:rPr>
                <w:sz w:val="22"/>
              </w:rPr>
              <w:t>2026年7月-2027年6月</w:t>
            </w:r>
          </w:p>
        </w:tc>
        <w:tc>
          <w:tcPr>
            <w:tcW w:type="dxa" w:w="972"/>
            <w:tcBorders>
              <w:top w:val="single" w:color="000000" w:sz="4"/>
              <w:left w:val="none" w:color="000000" w:sz="4"/>
              <w:bottom w:val="single" w:color="000000" w:sz="4"/>
              <w:right w:val="single" w:color="000000" w:sz="4"/>
            </w:tcBorders>
            <w:shd w:fill="FDE9D9"/>
            <w:tcMar>
              <w:top w:type="dxa" w:w="0"/>
              <w:left w:type="dxa" w:w="105"/>
              <w:bottom w:type="dxa" w:w="0"/>
              <w:right w:type="dxa" w:w="105"/>
            </w:tcMar>
            <w:vAlign w:val="top"/>
          </w:tcPr>
          <w:p>
            <w:pPr>
              <w:pStyle w:val="null3"/>
              <w:jc w:val="center"/>
            </w:pPr>
            <w:r>
              <w:rPr>
                <w:sz w:val="22"/>
              </w:rPr>
              <w:t>2027年7月-2028年4月</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医疗辅助岗位</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本科</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11900元至12900元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医疗辅助岗位</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硕士</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14000元至15000元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药剂辅助岗位</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大学</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7100元至7600元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护理辅助岗位</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大专</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8000元至8500元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护理辅助岗位</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大学</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8100元至9100元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护理辅助岗位</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硕士</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9600元至10600元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医技助理</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大专</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9000元至10000元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医技助理</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大学</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9100元至10100元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医技助理</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硕士</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9200元至10200元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文员（行政后勤管理方向）</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大专</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7300元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文员（行政后勤管理方向）</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大学</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7800元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文员（行政后勤管理方向）</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硕士</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9900元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文员（科室文秘方向）</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大专</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7700元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文员（科室文秘方向）</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大学</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7800元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文员（咨询服务方向）</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大专</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6700元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文员（咨询服务方向）</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大学</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6800元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会计员</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大学</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物价员</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大学</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仓库管理员（设备）</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5500元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仓库管理员（药剂）</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5500元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仓库管理员（后勤）</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5500元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配送员（后勤）</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5500元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配送员（设备）</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5500元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配送员（药剂）</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5500元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收费员</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外包项目监督员</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6000元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宿舍管理员</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5500元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技术工人（锅炉工）</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技术工人（司机）</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6900元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技术工人（电工）</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6500元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技术工人（污水处理）</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6600元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技术工人（氧气工）</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6600元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消毒员</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大专</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7300元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消防管理员</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不限</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7100元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导乐员</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中专</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参考上限价：</w:t>
            </w:r>
            <w:r>
              <w:rPr>
                <w:sz w:val="22"/>
              </w:rPr>
              <w:t>9400元</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0</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r>
      <w:tr>
        <w:tc>
          <w:tcPr>
            <w:tcW w:type="dxa" w:w="3961"/>
            <w:gridSpan w:val="4"/>
            <w:tcBorders>
              <w:top w:val="none" w:color="000000" w:sz="4"/>
              <w:left w:val="single" w:color="000000" w:sz="4"/>
              <w:bottom w:val="single" w:color="000000" w:sz="4"/>
              <w:right w:val="none" w:color="000000" w:sz="4"/>
            </w:tcBorders>
            <w:shd w:fill="B8CCE4"/>
            <w:tcMar>
              <w:top w:type="dxa" w:w="0"/>
              <w:left w:type="dxa" w:w="105"/>
              <w:bottom w:type="dxa" w:w="0"/>
              <w:right w:type="dxa" w:w="105"/>
            </w:tcMar>
            <w:vAlign w:val="top"/>
          </w:tcPr>
          <w:p>
            <w:pPr>
              <w:pStyle w:val="null3"/>
              <w:jc w:val="center"/>
            </w:pPr>
            <w:r>
              <w:rPr>
                <w:sz w:val="24"/>
                <w:b/>
              </w:rPr>
              <w:t>各阶段服务人数合计</w:t>
            </w:r>
          </w:p>
        </w:tc>
        <w:tc>
          <w:tcPr>
            <w:tcW w:type="dxa" w:w="1414"/>
            <w:tcBorders>
              <w:top w:val="none" w:color="000000" w:sz="4"/>
              <w:left w:val="single" w:color="000000" w:sz="4"/>
              <w:bottom w:val="single" w:color="000000" w:sz="4"/>
              <w:right w:val="none" w:color="000000" w:sz="4"/>
            </w:tcBorders>
            <w:shd w:fill="B8CCE4"/>
            <w:tcMar>
              <w:top w:type="dxa" w:w="0"/>
              <w:left w:type="dxa" w:w="105"/>
              <w:bottom w:type="dxa" w:w="0"/>
              <w:right w:type="dxa" w:w="105"/>
            </w:tcMar>
            <w:vAlign w:val="top"/>
          </w:tcPr>
          <w:p>
            <w:pPr>
              <w:pStyle w:val="null3"/>
              <w:jc w:val="center"/>
            </w:pPr>
            <w:r>
              <w:rPr>
                <w:sz w:val="22"/>
                <w:b/>
              </w:rPr>
              <w:t>119</w:t>
            </w:r>
          </w:p>
        </w:tc>
        <w:tc>
          <w:tcPr>
            <w:tcW w:type="dxa" w:w="1001"/>
            <w:tcBorders>
              <w:top w:val="none" w:color="000000" w:sz="4"/>
              <w:left w:val="single" w:color="000000" w:sz="4"/>
              <w:bottom w:val="single" w:color="000000" w:sz="4"/>
              <w:right w:val="none" w:color="000000" w:sz="4"/>
            </w:tcBorders>
            <w:shd w:fill="B8CCE4"/>
            <w:tcMar>
              <w:top w:type="dxa" w:w="0"/>
              <w:left w:type="dxa" w:w="105"/>
              <w:bottom w:type="dxa" w:w="0"/>
              <w:right w:type="dxa" w:w="105"/>
            </w:tcMar>
            <w:vAlign w:val="top"/>
          </w:tcPr>
          <w:p>
            <w:pPr>
              <w:pStyle w:val="null3"/>
              <w:jc w:val="center"/>
            </w:pPr>
            <w:r>
              <w:rPr>
                <w:sz w:val="22"/>
                <w:b/>
              </w:rPr>
              <w:t>172</w:t>
            </w:r>
          </w:p>
        </w:tc>
        <w:tc>
          <w:tcPr>
            <w:tcW w:type="dxa" w:w="957"/>
            <w:tcBorders>
              <w:top w:val="none" w:color="000000" w:sz="4"/>
              <w:left w:val="single" w:color="000000" w:sz="4"/>
              <w:bottom w:val="single" w:color="000000" w:sz="4"/>
              <w:right w:val="none" w:color="000000" w:sz="4"/>
            </w:tcBorders>
            <w:shd w:fill="B8CCE4"/>
            <w:tcMar>
              <w:top w:type="dxa" w:w="0"/>
              <w:left w:type="dxa" w:w="105"/>
              <w:bottom w:type="dxa" w:w="0"/>
              <w:right w:type="dxa" w:w="105"/>
            </w:tcMar>
            <w:vAlign w:val="top"/>
          </w:tcPr>
          <w:p>
            <w:pPr>
              <w:pStyle w:val="null3"/>
              <w:jc w:val="center"/>
            </w:pPr>
            <w:r>
              <w:rPr>
                <w:sz w:val="22"/>
                <w:b/>
              </w:rPr>
              <w:t>230</w:t>
            </w:r>
          </w:p>
        </w:tc>
        <w:tc>
          <w:tcPr>
            <w:tcW w:type="dxa" w:w="972"/>
            <w:tcBorders>
              <w:top w:val="none" w:color="000000" w:sz="4"/>
              <w:left w:val="single" w:color="000000" w:sz="4"/>
              <w:bottom w:val="single" w:color="000000" w:sz="4"/>
              <w:right w:val="single" w:color="000000" w:sz="4"/>
            </w:tcBorders>
            <w:shd w:fill="B8CCE4"/>
            <w:tcMar>
              <w:top w:type="dxa" w:w="0"/>
              <w:left w:type="dxa" w:w="105"/>
              <w:bottom w:type="dxa" w:w="0"/>
              <w:right w:type="dxa" w:w="105"/>
            </w:tcMar>
            <w:vAlign w:val="top"/>
          </w:tcPr>
          <w:p>
            <w:pPr>
              <w:pStyle w:val="null3"/>
              <w:jc w:val="center"/>
            </w:pPr>
            <w:r>
              <w:rPr>
                <w:sz w:val="22"/>
                <w:b/>
              </w:rPr>
              <w:t>287</w:t>
            </w:r>
          </w:p>
        </w:tc>
      </w:tr>
      <w:tr>
        <w:tc>
          <w:tcPr>
            <w:tcW w:type="dxa" w:w="3961"/>
            <w:gridSpan w:val="4"/>
            <w:tcBorders>
              <w:top w:val="none" w:color="000000" w:sz="4"/>
              <w:left w:val="single" w:color="000000" w:sz="4"/>
              <w:bottom w:val="single" w:color="000000" w:sz="4"/>
              <w:right w:val="none" w:color="000000" w:sz="4"/>
            </w:tcBorders>
            <w:shd w:fill="B8CCE4"/>
            <w:tcMar>
              <w:top w:type="dxa" w:w="0"/>
              <w:left w:type="dxa" w:w="105"/>
              <w:bottom w:type="dxa" w:w="0"/>
              <w:right w:type="dxa" w:w="105"/>
            </w:tcMar>
            <w:vAlign w:val="top"/>
          </w:tcPr>
          <w:p>
            <w:pPr>
              <w:pStyle w:val="null3"/>
              <w:jc w:val="center"/>
            </w:pPr>
            <w:r>
              <w:rPr>
                <w:sz w:val="24"/>
                <w:b/>
              </w:rPr>
              <w:t>各阶段岗位费用合计</w:t>
            </w:r>
          </w:p>
        </w:tc>
        <w:tc>
          <w:tcPr>
            <w:tcW w:type="dxa" w:w="4344"/>
            <w:gridSpan w:val="4"/>
            <w:tcBorders>
              <w:top w:val="none" w:color="000000" w:sz="4"/>
              <w:left w:val="single" w:color="000000" w:sz="4"/>
              <w:bottom w:val="single" w:color="000000" w:sz="4"/>
              <w:right w:val="single" w:color="000000" w:sz="4"/>
            </w:tcBorders>
            <w:shd w:fill="B8CCE4"/>
            <w:tcMar>
              <w:top w:type="dxa" w:w="0"/>
              <w:left w:type="dxa" w:w="105"/>
              <w:bottom w:type="dxa" w:w="0"/>
              <w:right w:type="dxa" w:w="105"/>
            </w:tcMar>
            <w:vAlign w:val="top"/>
          </w:tcPr>
          <w:p>
            <w:pPr>
              <w:pStyle w:val="null3"/>
              <w:jc w:val="center"/>
            </w:pPr>
            <w:r>
              <w:rPr>
                <w:sz w:val="22"/>
                <w:b/>
              </w:rPr>
              <w:t>（三年岗位费用上限：</w:t>
            </w:r>
            <w:r>
              <w:rPr>
                <w:sz w:val="22"/>
                <w:b/>
              </w:rPr>
              <w:t>72,5</w:t>
            </w:r>
            <w:r>
              <w:rPr>
                <w:sz w:val="22"/>
                <w:b/>
              </w:rPr>
              <w:t>06</w:t>
            </w:r>
            <w:r>
              <w:rPr>
                <w:sz w:val="22"/>
                <w:b/>
              </w:rPr>
              <w:t>,</w:t>
            </w:r>
            <w:r>
              <w:rPr>
                <w:sz w:val="22"/>
                <w:b/>
              </w:rPr>
              <w:t>298</w:t>
            </w:r>
            <w:r>
              <w:rPr>
                <w:sz w:val="22"/>
                <w:b/>
              </w:rPr>
              <w:t>元）</w:t>
            </w:r>
          </w:p>
        </w:tc>
      </w:tr>
      <w:tr>
        <w:tc>
          <w:tcPr>
            <w:tcW w:type="dxa" w:w="3961"/>
            <w:gridSpan w:val="4"/>
            <w:tcBorders>
              <w:top w:val="none" w:color="000000" w:sz="4"/>
              <w:left w:val="single" w:color="000000" w:sz="4"/>
              <w:bottom w:val="single" w:color="000000" w:sz="4"/>
              <w:right w:val="none" w:color="000000" w:sz="4"/>
            </w:tcBorders>
            <w:shd w:fill="B8CCE4"/>
            <w:tcMar>
              <w:top w:type="dxa" w:w="0"/>
              <w:left w:type="dxa" w:w="105"/>
              <w:bottom w:type="dxa" w:w="0"/>
              <w:right w:type="dxa" w:w="105"/>
            </w:tcMar>
            <w:vAlign w:val="top"/>
          </w:tcPr>
          <w:p>
            <w:pPr>
              <w:pStyle w:val="null3"/>
              <w:jc w:val="center"/>
            </w:pPr>
            <w:r>
              <w:rPr>
                <w:sz w:val="24"/>
                <w:b/>
              </w:rPr>
              <w:t>各阶段岗位综合管理服务费合计（平均不超</w:t>
            </w:r>
            <w:r>
              <w:rPr>
                <w:sz w:val="24"/>
                <w:b/>
              </w:rPr>
              <w:t>280元/人/月）</w:t>
            </w:r>
          </w:p>
        </w:tc>
        <w:tc>
          <w:tcPr>
            <w:tcW w:type="dxa" w:w="4344"/>
            <w:gridSpan w:val="4"/>
            <w:tcBorders>
              <w:top w:val="none" w:color="000000" w:sz="4"/>
              <w:left w:val="single" w:color="000000" w:sz="4"/>
              <w:bottom w:val="single" w:color="000000" w:sz="4"/>
              <w:right w:val="single" w:color="000000" w:sz="4"/>
            </w:tcBorders>
            <w:shd w:fill="B8CCE4"/>
            <w:tcMar>
              <w:top w:type="dxa" w:w="0"/>
              <w:left w:type="dxa" w:w="105"/>
              <w:bottom w:type="dxa" w:w="0"/>
              <w:right w:type="dxa" w:w="105"/>
            </w:tcMar>
            <w:vAlign w:val="top"/>
          </w:tcPr>
          <w:p>
            <w:pPr>
              <w:pStyle w:val="null3"/>
              <w:jc w:val="center"/>
            </w:pPr>
          </w:p>
        </w:tc>
      </w:tr>
      <w:tr>
        <w:tc>
          <w:tcPr>
            <w:tcW w:type="dxa" w:w="3961"/>
            <w:gridSpan w:val="4"/>
            <w:tcBorders>
              <w:top w:val="none" w:color="000000" w:sz="4"/>
              <w:left w:val="single" w:color="000000" w:sz="4"/>
              <w:bottom w:val="single" w:color="000000" w:sz="4"/>
              <w:right w:val="none" w:color="000000" w:sz="4"/>
            </w:tcBorders>
            <w:shd w:fill="B8CCE4"/>
            <w:tcMar>
              <w:top w:type="dxa" w:w="0"/>
              <w:left w:type="dxa" w:w="105"/>
              <w:bottom w:type="dxa" w:w="0"/>
              <w:right w:type="dxa" w:w="105"/>
            </w:tcMar>
            <w:vAlign w:val="top"/>
          </w:tcPr>
          <w:p>
            <w:pPr>
              <w:pStyle w:val="null3"/>
              <w:jc w:val="center"/>
            </w:pPr>
            <w:r>
              <w:rPr>
                <w:sz w:val="24"/>
                <w:b/>
              </w:rPr>
              <w:t>三年其他费用合计（元）</w:t>
            </w:r>
          </w:p>
        </w:tc>
        <w:tc>
          <w:tcPr>
            <w:tcW w:type="dxa" w:w="4344"/>
            <w:gridSpan w:val="4"/>
            <w:tcBorders>
              <w:top w:val="none" w:color="000000" w:sz="4"/>
              <w:left w:val="single" w:color="000000" w:sz="4"/>
              <w:bottom w:val="single" w:color="000000" w:sz="4"/>
              <w:right w:val="single" w:color="000000" w:sz="4"/>
            </w:tcBorders>
            <w:shd w:fill="B8CCE4"/>
            <w:tcMar>
              <w:top w:type="dxa" w:w="0"/>
              <w:left w:type="dxa" w:w="105"/>
              <w:bottom w:type="dxa" w:w="0"/>
              <w:right w:type="dxa" w:w="105"/>
            </w:tcMar>
            <w:vAlign w:val="top"/>
          </w:tcPr>
          <w:p>
            <w:pPr>
              <w:pStyle w:val="null3"/>
              <w:jc w:val="center"/>
            </w:pPr>
            <w:r>
              <w:rPr>
                <w:sz w:val="24"/>
                <w:b/>
              </w:rPr>
              <w:t>￥</w:t>
            </w:r>
            <w:r>
              <w:rPr>
                <w:sz w:val="24"/>
                <w:b/>
              </w:rPr>
              <w:t>4,700,000.00</w:t>
            </w:r>
          </w:p>
        </w:tc>
      </w:tr>
      <w:tr>
        <w:tc>
          <w:tcPr>
            <w:tcW w:type="dxa" w:w="8305"/>
            <w:gridSpan w:val="8"/>
            <w:tcBorders>
              <w:top w:val="none" w:color="000000" w:sz="4"/>
              <w:left w:val="single" w:color="000000" w:sz="4"/>
              <w:bottom w:val="single" w:color="000000" w:sz="4"/>
              <w:right w:val="single" w:color="000000" w:sz="4"/>
            </w:tcBorders>
            <w:shd w:fill="B8CCE4"/>
            <w:tcMar>
              <w:top w:type="dxa" w:w="0"/>
              <w:left w:type="dxa" w:w="105"/>
              <w:bottom w:type="dxa" w:w="0"/>
              <w:right w:type="dxa" w:w="105"/>
            </w:tcMar>
            <w:vAlign w:val="top"/>
          </w:tcPr>
          <w:p>
            <w:pPr>
              <w:pStyle w:val="null3"/>
              <w:ind w:firstLine="480"/>
              <w:jc w:val="both"/>
            </w:pPr>
            <w:r>
              <w:rPr>
                <w:sz w:val="20"/>
                <w:b/>
              </w:rPr>
              <w:t>注：</w:t>
            </w:r>
            <w:r>
              <w:rPr>
                <w:sz w:val="20"/>
                <w:b/>
              </w:rPr>
              <w:t>1.</w:t>
            </w:r>
            <w:r>
              <w:rPr>
                <w:sz w:val="20"/>
                <w:b/>
              </w:rPr>
              <w:t>以上为预计</w:t>
            </w:r>
            <w:r>
              <w:rPr>
                <w:sz w:val="20"/>
                <w:b/>
              </w:rPr>
              <w:t>辅助</w:t>
            </w:r>
            <w:r>
              <w:rPr>
                <w:sz w:val="20"/>
                <w:b/>
              </w:rPr>
              <w:t>岗位及</w:t>
            </w:r>
            <w:r>
              <w:rPr>
                <w:sz w:val="20"/>
                <w:b/>
              </w:rPr>
              <w:t>人</w:t>
            </w:r>
            <w:r>
              <w:rPr>
                <w:sz w:val="20"/>
                <w:b/>
              </w:rPr>
              <w:t>数，</w:t>
            </w:r>
            <w:r>
              <w:rPr>
                <w:sz w:val="20"/>
                <w:b/>
              </w:rPr>
              <w:t>项目</w:t>
            </w:r>
            <w:r>
              <w:rPr>
                <w:sz w:val="20"/>
                <w:b/>
              </w:rPr>
              <w:t>实施时以采购人实际需求为准，结算以实际</w:t>
            </w:r>
            <w:r>
              <w:rPr>
                <w:sz w:val="20"/>
                <w:b/>
              </w:rPr>
              <w:t>岗位数</w:t>
            </w:r>
            <w:r>
              <w:rPr>
                <w:sz w:val="20"/>
                <w:b/>
              </w:rPr>
              <w:t>为准</w:t>
            </w:r>
            <w:r>
              <w:rPr>
                <w:sz w:val="22"/>
                <w:b/>
              </w:rPr>
              <w:t>。</w:t>
            </w:r>
          </w:p>
          <w:p>
            <w:pPr>
              <w:pStyle w:val="null3"/>
              <w:ind w:firstLine="480"/>
              <w:jc w:val="both"/>
            </w:pPr>
            <w:r>
              <w:rPr>
                <w:sz w:val="20"/>
                <w:b/>
              </w:rPr>
              <w:t>2.</w:t>
            </w:r>
            <w:r>
              <w:rPr>
                <w:sz w:val="20"/>
                <w:b/>
              </w:rPr>
              <w:t>以上各辅助岗位具体</w:t>
            </w:r>
            <w:r>
              <w:rPr>
                <w:sz w:val="20"/>
                <w:b/>
              </w:rPr>
              <w:t>费用明细</w:t>
            </w:r>
            <w:r>
              <w:rPr>
                <w:sz w:val="20"/>
                <w:b/>
              </w:rPr>
              <w:t>由中标人签署合</w:t>
            </w:r>
            <w:r>
              <w:rPr>
                <w:sz w:val="20"/>
                <w:b/>
              </w:rPr>
              <w:t>同</w:t>
            </w:r>
            <w:r>
              <w:rPr>
                <w:sz w:val="20"/>
                <w:b/>
              </w:rPr>
              <w:t>后</w:t>
            </w:r>
            <w:r>
              <w:rPr>
                <w:sz w:val="20"/>
                <w:b/>
              </w:rPr>
              <w:t>5个工作日内提供，经采购人审批通过后执行。</w:t>
            </w:r>
          </w:p>
        </w:tc>
      </w:tr>
    </w:tbl>
    <w:p>
      <w:pPr>
        <w:pStyle w:val="null3"/>
      </w:pPr>
      <w:r>
        <w:rPr/>
        <w:t xml:space="preserve"> </w:t>
      </w:r>
    </w:p>
    <w:p>
      <w:pPr>
        <w:pStyle w:val="null3"/>
      </w:pPr>
      <w:r>
        <w:rPr/>
        <w:t xml:space="preserve"> </w:t>
      </w:r>
    </w:p>
    <w:p>
      <w:pPr>
        <w:pStyle w:val="null3"/>
      </w:pPr>
      <w:r>
        <w:rPr/>
        <w:t xml:space="preserve"> </w:t>
      </w:r>
    </w:p>
    <w:p>
      <w:pPr>
        <w:pStyle w:val="null3"/>
        <w:ind w:firstLine="480"/>
      </w:pPr>
      <w:r>
        <w:rPr/>
        <w:t>采购包1（辅助岗位服务外包项目）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三年（履约起止时间以合同签订时间为准），服务期结束或累计结算金额达到项目预算金额时项目终止，以先到者为准。</w:t>
            </w:r>
          </w:p>
        </w:tc>
      </w:tr>
      <w:tr>
        <w:tc>
          <w:tcPr>
            <w:tcW w:type="dxa" w:w="4153"/>
          </w:tcPr>
          <w:p>
            <w:pPr>
              <w:pStyle w:val="null3"/>
            </w:pPr>
            <w:r>
              <w:rPr/>
              <w:t>标的提供的地点</w:t>
            </w:r>
          </w:p>
        </w:tc>
        <w:tc>
          <w:tcPr>
            <w:tcW w:type="dxa" w:w="4153"/>
          </w:tcPr>
          <w:p>
            <w:pPr>
              <w:pStyle w:val="null3"/>
            </w:pPr>
            <w:r>
              <w:rPr/>
              <w:t>医院各临床、医技、行政后勤部门等采购人指定的科室。</w:t>
            </w:r>
          </w:p>
        </w:tc>
      </w:tr>
      <w:tr/>
      <w:tr/>
      <w:tr>
        <w:tc>
          <w:tcPr>
            <w:tcW w:type="dxa" w:w="4153"/>
          </w:tcPr>
          <w:p>
            <w:pPr>
              <w:pStyle w:val="null3"/>
            </w:pPr>
            <w:r>
              <w:rPr/>
              <w:t>付款方式</w:t>
            </w:r>
          </w:p>
        </w:tc>
        <w:tc>
          <w:tcPr>
            <w:tcW w:type="dxa" w:w="4153"/>
          </w:tcPr>
          <w:p>
            <w:pPr>
              <w:pStyle w:val="null3"/>
            </w:pPr>
            <w:r>
              <w:rPr/>
              <w:t>第1期为(按月结算)：支付比例100%，按月结算，每月支付一次，当月服务费=当月服务人数*当月对应岗位费用+当月综合管理服务费+当月其他费用。根据当月考核结果于次月10号前由中标人向采购人提供以下资料：（1）合同（2）经双方确认的服务人数、服务人员考核、服务结算资料；（3）费用明细表及依据材料；（4）服务费用相应金额的正式发票，（5）《服务考评标准或考核要求》采购人在收到上述资料后60个自然日内一次性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1期：按招标文件约定的“服务考评标准或考核要求”。</w:t>
            </w:r>
          </w:p>
        </w:tc>
      </w:tr>
      <w:tr>
        <w:tc>
          <w:tcPr>
            <w:tcW w:type="dxa" w:w="4153"/>
          </w:tcPr>
          <w:p>
            <w:pPr>
              <w:pStyle w:val="null3"/>
            </w:pPr>
            <w:r>
              <w:rPr/>
              <w:t>履约保证金</w:t>
            </w:r>
          </w:p>
        </w:tc>
        <w:tc>
          <w:tcPr>
            <w:tcW w:type="dxa" w:w="4153"/>
          </w:tcPr>
          <w:p>
            <w:pPr>
              <w:pStyle w:val="null3"/>
            </w:pPr>
            <w:r>
              <w:rPr/>
              <w:t>收取比例：1.2%,说明：1、履约保证金为合同总金额的1.2%；合同签订后，中标人须于10个工作日内以支票、汇票、本票或者金融机构、担保机构出具的保函等非现金形式向采购人提交履约保证金。 2、若中标人不履行或不适当履行其合同义务导致采购人蒙受损失的，采购人有权直接从履约保证金中扣除相应违约金或损失赔偿款项；违约金或给采购人造成的损失超过履约保证金数额的，中标人应对超出部分给予赔偿；若中标人没有违约行为，履约保证金在合同履行期限结束后由采购人无息退还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辅助岗位服务外包</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79,427,258.00</w:t>
            </w:r>
          </w:p>
        </w:tc>
        <w:tc>
          <w:tcPr>
            <w:tcW w:type="dxa" w:w="933"/>
          </w:tcPr>
          <w:p>
            <w:pPr>
              <w:pStyle w:val="null3"/>
              <w:jc w:val="right"/>
            </w:pPr>
            <w:r>
              <w:rPr/>
              <w:t>79,427,258.00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辅助岗位服务外包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一、辅助岗位服务内容</w:t>
            </w:r>
          </w:p>
          <w:p>
            <w:pPr>
              <w:pStyle w:val="null3"/>
              <w:jc w:val="both"/>
            </w:pPr>
            <w:r>
              <w:rPr>
                <w:sz w:val="20"/>
                <w:b/>
              </w:rPr>
              <w:t>（一）医疗辅助岗位</w:t>
            </w:r>
          </w:p>
          <w:p>
            <w:pPr>
              <w:pStyle w:val="null3"/>
              <w:jc w:val="both"/>
            </w:pPr>
            <w:r>
              <w:rPr>
                <w:sz w:val="20"/>
              </w:rPr>
              <w:t>1、协助医生完成医疗相关咨询、诊疗、服务等常规性的医疗诊疗工作，并确保医疗安全；</w:t>
            </w:r>
          </w:p>
          <w:p>
            <w:pPr>
              <w:pStyle w:val="null3"/>
              <w:jc w:val="both"/>
            </w:pPr>
            <w:r>
              <w:rPr>
                <w:sz w:val="20"/>
              </w:rPr>
              <w:t>2、协助医生</w:t>
            </w:r>
            <w:r>
              <w:rPr>
                <w:sz w:val="20"/>
              </w:rPr>
              <w:t>规</w:t>
            </w:r>
            <w:r>
              <w:rPr>
                <w:sz w:val="20"/>
              </w:rPr>
              <w:t>范书写医疗文书，并完成相关的整理工作；</w:t>
            </w:r>
          </w:p>
          <w:p>
            <w:pPr>
              <w:pStyle w:val="null3"/>
              <w:jc w:val="both"/>
            </w:pPr>
            <w:r>
              <w:rPr>
                <w:sz w:val="20"/>
              </w:rPr>
              <w:t>3、完成上级交办的其他工作。</w:t>
            </w:r>
          </w:p>
          <w:p>
            <w:pPr>
              <w:pStyle w:val="null3"/>
              <w:jc w:val="both"/>
            </w:pPr>
            <w:r>
              <w:rPr>
                <w:sz w:val="20"/>
                <w:b/>
              </w:rPr>
              <w:t>（二）药剂辅助岗位</w:t>
            </w:r>
          </w:p>
          <w:p>
            <w:pPr>
              <w:pStyle w:val="null3"/>
              <w:jc w:val="both"/>
            </w:pPr>
            <w:r>
              <w:rPr>
                <w:sz w:val="20"/>
              </w:rPr>
              <w:t>1、协助药师审核处方，药品调配、药品发放、库存管理、患者教育等常规性的内容；</w:t>
            </w:r>
          </w:p>
          <w:p>
            <w:pPr>
              <w:pStyle w:val="null3"/>
              <w:jc w:val="both"/>
            </w:pPr>
            <w:r>
              <w:rPr>
                <w:sz w:val="20"/>
              </w:rPr>
              <w:t>2、协助质量负责人做好日常质量管理工作的监督指导，负责相关的质量记录、档案的及时更新、归档工作，以及每月检查并更新相关质量文件并有效归档。</w:t>
            </w:r>
          </w:p>
          <w:p>
            <w:pPr>
              <w:pStyle w:val="null3"/>
              <w:jc w:val="both"/>
            </w:pPr>
            <w:r>
              <w:rPr>
                <w:sz w:val="20"/>
              </w:rPr>
              <w:t>3、完成上级交办的其他工作。</w:t>
            </w:r>
          </w:p>
          <w:p>
            <w:pPr>
              <w:pStyle w:val="null3"/>
              <w:jc w:val="both"/>
            </w:pPr>
            <w:r>
              <w:rPr>
                <w:sz w:val="20"/>
                <w:b/>
              </w:rPr>
              <w:t>（三）护理辅助岗位</w:t>
            </w:r>
          </w:p>
          <w:p>
            <w:pPr>
              <w:pStyle w:val="null3"/>
              <w:jc w:val="both"/>
            </w:pPr>
            <w:r>
              <w:rPr>
                <w:sz w:val="20"/>
              </w:rPr>
              <w:t>1、协助护士完成常规性的护理活动；</w:t>
            </w:r>
          </w:p>
          <w:p>
            <w:pPr>
              <w:pStyle w:val="null3"/>
              <w:jc w:val="both"/>
            </w:pPr>
            <w:r>
              <w:rPr>
                <w:sz w:val="20"/>
              </w:rPr>
              <w:t>2、协助医生完成常规的检查活动；</w:t>
            </w:r>
          </w:p>
          <w:p>
            <w:pPr>
              <w:pStyle w:val="null3"/>
              <w:jc w:val="both"/>
            </w:pPr>
            <w:r>
              <w:rPr>
                <w:sz w:val="20"/>
              </w:rPr>
              <w:t>3、协助护士完成预检、导诊、分诊服务；</w:t>
            </w:r>
          </w:p>
          <w:p>
            <w:pPr>
              <w:pStyle w:val="null3"/>
              <w:jc w:val="both"/>
            </w:pPr>
            <w:r>
              <w:rPr>
                <w:sz w:val="20"/>
              </w:rPr>
              <w:t>4、完成上级交办的其他工作。</w:t>
            </w:r>
          </w:p>
          <w:p>
            <w:pPr>
              <w:pStyle w:val="null3"/>
              <w:jc w:val="both"/>
            </w:pPr>
            <w:r>
              <w:rPr>
                <w:sz w:val="20"/>
                <w:b/>
              </w:rPr>
              <w:t>（四）医技助理岗位</w:t>
            </w:r>
          </w:p>
          <w:p>
            <w:pPr>
              <w:pStyle w:val="null3"/>
              <w:jc w:val="both"/>
            </w:pPr>
            <w:r>
              <w:rPr>
                <w:sz w:val="20"/>
              </w:rPr>
              <w:t>1、协助完成医学影像、医学检验、电生理及五官检测等检验、检查服务，并协助完成检验、检查结果的归档工作；</w:t>
            </w:r>
          </w:p>
          <w:p>
            <w:pPr>
              <w:pStyle w:val="null3"/>
              <w:jc w:val="both"/>
            </w:pPr>
            <w:r>
              <w:rPr>
                <w:sz w:val="20"/>
              </w:rPr>
              <w:t>2、协助完成康复治疗、睡眠治疗等相关的治疗服务；</w:t>
            </w:r>
          </w:p>
          <w:p>
            <w:pPr>
              <w:pStyle w:val="null3"/>
              <w:jc w:val="both"/>
            </w:pPr>
            <w:r>
              <w:rPr>
                <w:sz w:val="20"/>
              </w:rPr>
              <w:t>3、完成上级交办的其他工作。</w:t>
            </w:r>
          </w:p>
          <w:p>
            <w:pPr>
              <w:pStyle w:val="null3"/>
              <w:jc w:val="both"/>
            </w:pPr>
            <w:r>
              <w:rPr>
                <w:sz w:val="20"/>
                <w:b/>
              </w:rPr>
              <w:t>（五）文员岗位</w:t>
            </w:r>
          </w:p>
          <w:p>
            <w:pPr>
              <w:pStyle w:val="null3"/>
              <w:jc w:val="both"/>
            </w:pPr>
            <w:r>
              <w:rPr>
                <w:sz w:val="20"/>
              </w:rPr>
              <w:t>1、协助完成日常行政事务；</w:t>
            </w:r>
          </w:p>
          <w:p>
            <w:pPr>
              <w:pStyle w:val="null3"/>
              <w:jc w:val="both"/>
            </w:pPr>
            <w:r>
              <w:rPr>
                <w:sz w:val="20"/>
              </w:rPr>
              <w:t>2、协助编辑、整理、归档、管理各类文书资料；</w:t>
            </w:r>
          </w:p>
          <w:p>
            <w:pPr>
              <w:pStyle w:val="null3"/>
              <w:jc w:val="both"/>
            </w:pPr>
            <w:r>
              <w:rPr>
                <w:sz w:val="20"/>
              </w:rPr>
              <w:t>3、完成上级交办的其他工作。</w:t>
            </w:r>
          </w:p>
          <w:p>
            <w:pPr>
              <w:pStyle w:val="null3"/>
              <w:jc w:val="both"/>
            </w:pPr>
            <w:r>
              <w:rPr>
                <w:sz w:val="20"/>
                <w:b/>
              </w:rPr>
              <w:t>（六）后勤技术岗位</w:t>
            </w:r>
          </w:p>
          <w:p>
            <w:pPr>
              <w:pStyle w:val="null3"/>
              <w:jc w:val="both"/>
            </w:pPr>
            <w:r>
              <w:rPr>
                <w:sz w:val="20"/>
              </w:rPr>
              <w:t>1、协助完成但不限于收费、仓库管理、物资配送、锅炉、水、电、消防安全、污水处理等医院后勤服务工作；</w:t>
            </w:r>
          </w:p>
          <w:p>
            <w:pPr>
              <w:pStyle w:val="null3"/>
              <w:jc w:val="both"/>
            </w:pPr>
            <w:r>
              <w:rPr>
                <w:sz w:val="20"/>
              </w:rPr>
              <w:t>2、完成上级交办的其他工作。</w:t>
            </w:r>
          </w:p>
          <w:p>
            <w:pPr>
              <w:pStyle w:val="null3"/>
              <w:jc w:val="both"/>
            </w:pPr>
            <w:r>
              <w:rPr>
                <w:sz w:val="20"/>
                <w:b/>
              </w:rPr>
              <w:t>（</w:t>
            </w:r>
            <w:r>
              <w:rPr>
                <w:sz w:val="20"/>
                <w:b/>
              </w:rPr>
              <w:t>七</w:t>
            </w:r>
            <w:r>
              <w:rPr>
                <w:sz w:val="20"/>
                <w:b/>
              </w:rPr>
              <w:t>）</w:t>
            </w:r>
            <w:r>
              <w:rPr>
                <w:sz w:val="20"/>
              </w:rPr>
              <w:t>导乐员</w:t>
            </w:r>
            <w:r>
              <w:rPr>
                <w:sz w:val="20"/>
                <w:b/>
              </w:rPr>
              <w:t>岗位</w:t>
            </w:r>
          </w:p>
          <w:p>
            <w:pPr>
              <w:pStyle w:val="null3"/>
              <w:jc w:val="both"/>
            </w:pPr>
            <w:r>
              <w:rPr>
                <w:sz w:val="20"/>
              </w:rPr>
              <w:t>完成</w:t>
            </w:r>
            <w:r>
              <w:rPr>
                <w:sz w:val="20"/>
              </w:rPr>
              <w:t>包括</w:t>
            </w:r>
            <w:r>
              <w:rPr>
                <w:sz w:val="20"/>
              </w:rPr>
              <w:t>但不限于</w:t>
            </w:r>
            <w:r>
              <w:rPr>
                <w:sz w:val="20"/>
              </w:rPr>
              <w:t>：</w:t>
            </w:r>
          </w:p>
          <w:p>
            <w:pPr>
              <w:pStyle w:val="null3"/>
              <w:jc w:val="both"/>
            </w:pPr>
            <w:r>
              <w:rPr>
                <w:sz w:val="20"/>
              </w:rPr>
              <w:t>1、</w:t>
            </w:r>
            <w:r>
              <w:rPr/>
              <w:t>提供专业的导乐陪产服务</w:t>
            </w:r>
            <w:r>
              <w:rPr/>
              <w:t>；</w:t>
            </w:r>
          </w:p>
          <w:p>
            <w:pPr>
              <w:pStyle w:val="null3"/>
              <w:jc w:val="both"/>
            </w:pPr>
            <w:r>
              <w:rPr/>
              <w:t>2、</w:t>
            </w:r>
            <w:r>
              <w:rPr/>
              <w:t>在工作中应接受医护人员的技术指导和质量监督。导乐师不参加任何医疗决定或干预任何医疗行为。医护人员查看产妇情况时，导乐师应积极配合，保护产妇隐私，不干扰医护工作</w:t>
            </w:r>
            <w:r>
              <w:rPr/>
              <w:t>；</w:t>
            </w:r>
          </w:p>
          <w:p>
            <w:pPr>
              <w:pStyle w:val="null3"/>
              <w:jc w:val="both"/>
            </w:pPr>
            <w:r>
              <w:rPr/>
              <w:t>3、</w:t>
            </w:r>
            <w:r>
              <w:rPr/>
              <w:t>必须无条件服从工作人员安排的导乐对象；在导乐过程中不得从事与该服务产妇无关的工作</w:t>
            </w:r>
            <w:r>
              <w:rPr/>
              <w:t>；</w:t>
            </w:r>
          </w:p>
          <w:p>
            <w:pPr>
              <w:pStyle w:val="null3"/>
              <w:jc w:val="both"/>
            </w:pPr>
            <w:r>
              <w:rPr/>
              <w:t>4、</w:t>
            </w:r>
            <w:r>
              <w:rPr/>
              <w:t>须先向当班医护人员了解产妇情况和陪产要求，清晰禁忌及注意事项，做好动态观察，配合医护人员密切关注产妇情况，发现异常情况及时向当班护士反映。</w:t>
            </w:r>
          </w:p>
          <w:p>
            <w:pPr>
              <w:pStyle w:val="null3"/>
              <w:jc w:val="both"/>
            </w:pPr>
            <w:r>
              <w:rPr>
                <w:sz w:val="20"/>
              </w:rPr>
              <w:t>5、</w:t>
            </w:r>
            <w:r>
              <w:rPr>
                <w:sz w:val="20"/>
              </w:rPr>
              <w:t>完成上级交办的其他工作。</w:t>
            </w:r>
          </w:p>
          <w:p>
            <w:pPr>
              <w:pStyle w:val="null3"/>
              <w:jc w:val="both"/>
            </w:pPr>
            <w:r>
              <w:rPr/>
              <w:t xml:space="preserve"> </w:t>
            </w:r>
          </w:p>
          <w:p>
            <w:pPr>
              <w:pStyle w:val="null3"/>
              <w:jc w:val="both"/>
            </w:pPr>
          </w:p>
        </w:tc>
      </w:tr>
      <w:tr>
        <w:tc>
          <w:tcPr>
            <w:tcW w:type="dxa" w:w="2076"/>
          </w:tcPr>
          <w:p/>
        </w:tc>
        <w:tc>
          <w:tcPr>
            <w:tcW w:type="dxa" w:w="415"/>
          </w:tcPr>
          <w:p>
            <w:pPr>
              <w:pStyle w:val="null3"/>
            </w:pPr>
            <w:r>
              <w:rPr/>
              <w:t>2</w:t>
            </w:r>
          </w:p>
        </w:tc>
        <w:tc>
          <w:tcPr>
            <w:tcW w:type="dxa" w:w="5814"/>
          </w:tcPr>
          <w:p>
            <w:pPr>
              <w:pStyle w:val="null3"/>
              <w:jc w:val="both"/>
            </w:pPr>
            <w:r>
              <w:rPr>
                <w:sz w:val="20"/>
                <w:b/>
              </w:rPr>
              <w:t>二、人员配置</w:t>
            </w:r>
          </w:p>
          <w:p>
            <w:pPr>
              <w:pStyle w:val="null3"/>
              <w:jc w:val="both"/>
            </w:pPr>
            <w:r>
              <w:rPr>
                <w:sz w:val="20"/>
                <w:b/>
              </w:rPr>
              <w:t>1、</w:t>
            </w:r>
            <w:r>
              <w:rPr>
                <w:sz w:val="20"/>
                <w:b/>
              </w:rPr>
              <w:t>辅助岗位</w:t>
            </w:r>
            <w:r>
              <w:rPr>
                <w:sz w:val="20"/>
                <w:b/>
              </w:rPr>
              <w:t>服务人员要求</w:t>
            </w:r>
          </w:p>
          <w:p>
            <w:pPr>
              <w:pStyle w:val="null3"/>
              <w:jc w:val="both"/>
            </w:pPr>
            <w:r>
              <w:rPr>
                <w:sz w:val="20"/>
              </w:rPr>
              <w:t>（</w:t>
            </w:r>
            <w:r>
              <w:rPr>
                <w:sz w:val="20"/>
              </w:rPr>
              <w:t>1）服务人员遵纪守法，遵守医院各项规章制度和管理规程，服从和执行采购人的工作安排及调度，接受采购人的检查监督。</w:t>
            </w:r>
          </w:p>
          <w:p>
            <w:pPr>
              <w:pStyle w:val="null3"/>
              <w:jc w:val="both"/>
            </w:pPr>
            <w:r>
              <w:rPr>
                <w:sz w:val="20"/>
              </w:rPr>
              <w:t>（</w:t>
            </w:r>
            <w:r>
              <w:rPr>
                <w:sz w:val="20"/>
              </w:rPr>
              <w:t>2）服务人员具有较强的责任心、沟通表达能力、应变能力，工作积极主动，吃苦耐劳，有团队协作意识，服从管理。</w:t>
            </w:r>
          </w:p>
          <w:p>
            <w:pPr>
              <w:pStyle w:val="null3"/>
              <w:jc w:val="both"/>
            </w:pPr>
            <w:r>
              <w:rPr>
                <w:sz w:val="20"/>
              </w:rPr>
              <w:t>（</w:t>
            </w:r>
            <w:r>
              <w:rPr>
                <w:sz w:val="20"/>
              </w:rPr>
              <w:t>3）服务人员须具有与所在岗位相匹配的扎实专业理论基础和实践技能，胜任本职工作。</w:t>
            </w:r>
          </w:p>
          <w:p>
            <w:pPr>
              <w:pStyle w:val="null3"/>
              <w:jc w:val="both"/>
            </w:pPr>
            <w:r>
              <w:rPr>
                <w:sz w:val="20"/>
              </w:rPr>
              <w:t>（</w:t>
            </w:r>
            <w:r>
              <w:rPr>
                <w:sz w:val="20"/>
              </w:rPr>
              <w:t>4）服务人员工作时间：每周</w:t>
            </w:r>
            <w:r>
              <w:rPr>
                <w:sz w:val="20"/>
              </w:rPr>
              <w:t>正常</w:t>
            </w:r>
            <w:r>
              <w:rPr>
                <w:sz w:val="20"/>
              </w:rPr>
              <w:t>工作</w:t>
            </w:r>
            <w:r>
              <w:rPr>
                <w:sz w:val="20"/>
              </w:rPr>
              <w:t>时间原则上为</w:t>
            </w:r>
            <w:r>
              <w:rPr>
                <w:sz w:val="20"/>
              </w:rPr>
              <w:t>42</w:t>
            </w:r>
            <w:r>
              <w:rPr>
                <w:sz w:val="20"/>
              </w:rPr>
              <w:t>小时</w:t>
            </w:r>
            <w:r>
              <w:rPr>
                <w:sz w:val="20"/>
              </w:rPr>
              <w:t>。</w:t>
            </w:r>
            <w:r>
              <w:rPr>
                <w:sz w:val="20"/>
              </w:rPr>
              <w:t>节假日按国家法定假期休息，因工作需要不能安排休息的则由科室安排调休。如因特殊情况或工作要求需承担加班、外派等工作的，服务人员须服从采购人的安排。</w:t>
            </w:r>
          </w:p>
          <w:p>
            <w:pPr>
              <w:pStyle w:val="null3"/>
              <w:jc w:val="both"/>
            </w:pPr>
            <w:r>
              <w:rPr>
                <w:sz w:val="20"/>
              </w:rPr>
              <w:t>（</w:t>
            </w:r>
            <w:r>
              <w:rPr>
                <w:sz w:val="20"/>
              </w:rPr>
              <w:t>5）</w:t>
            </w:r>
            <w:r>
              <w:rPr/>
              <w:t>中标人选派的人员必须符合采购人对该岗位的要求。不能胜任者，采购人有权要求中标人更换，中标人必须及时且无条件地为采购人更换合格的人员，相关费用由中标人负担。</w:t>
            </w:r>
          </w:p>
          <w:p>
            <w:pPr>
              <w:pStyle w:val="null3"/>
              <w:jc w:val="both"/>
            </w:pPr>
            <w:r>
              <w:rPr>
                <w:sz w:val="20"/>
                <w:b/>
              </w:rPr>
              <w:t>2、</w:t>
            </w:r>
            <w:r>
              <w:rPr>
                <w:sz w:val="20"/>
                <w:b/>
              </w:rPr>
              <w:t>岗位设置</w:t>
            </w:r>
          </w:p>
          <w:tbl>
            <w:tblPr>
              <w:tblBorders>
                <w:top w:val="none" w:color="000000" w:sz="4"/>
                <w:left w:val="none" w:color="000000" w:sz="4"/>
                <w:bottom w:val="none" w:color="000000" w:sz="4"/>
                <w:right w:val="none" w:color="000000" w:sz="4"/>
                <w:insideH w:val="none"/>
                <w:insideV w:val="none"/>
              </w:tblBorders>
            </w:tblPr>
            <w:tblGrid>
              <w:gridCol w:w="445"/>
              <w:gridCol w:w="1190"/>
              <w:gridCol w:w="823"/>
              <w:gridCol w:w="1046"/>
              <w:gridCol w:w="612"/>
              <w:gridCol w:w="467"/>
              <w:gridCol w:w="456"/>
              <w:gridCol w:w="511"/>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岗位名称</w:t>
                  </w:r>
                </w:p>
              </w:tc>
              <w:tc>
                <w:tcPr>
                  <w:tcW w:type="dxa" w:w="8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学历</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专业（技能）要求</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2025年5月-2025年6月</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2025年7月-2026年6月</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2026年7月-2027年6月</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2027年7月-2028年4月</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医疗辅助岗位</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本科</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中医、中西医、临床医学相关专业，持执业医师资格证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医疗辅助岗位</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硕士</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中医、中西医、临床医学相关专业，持执业医师资格证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药剂辅助岗位</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大学</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中药学、药学专业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护理辅助岗位</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大专</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持护士执业资格证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护理辅助岗位</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大学</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持护士执业资格证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护理辅助岗位</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硕士</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持护士执业资格证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医技助理</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大专</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临床医学专业，持专业技术资格证、技能上岗证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医技助理</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大学</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临床医学专业，持专业技术资格证、技能上岗证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医技助理</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硕士</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临床医学专业，持专业技术资格证、技能上岗证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文员（行政后勤管理方向）</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大专</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行政管理、财务、人力资源，公共事业管理、信息技术、设备维修、医疗相关专业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文员（行政后勤管理方向）</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大学</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行政管理、财务、人力资源，公共事业管理、信息技术、设备维修、医疗相关专业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文员（行政后勤管理方向）</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硕士</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行政管理、财务、人力资源，公共事业管理、信息技术、设备维修、医疗相关专业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文员（科室文秘方向）</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大专</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医疗相关专业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文员（科室文秘方向）</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大学</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医疗相关专业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文员（咨询服务方向）</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大专</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医疗相关专业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文员（咨询服务方向）</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大学</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医疗相关专业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会计员</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大学</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财务相关专业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物价员</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大学</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财务相关专业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仓库管理员（设备）</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专业不限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仓库管理员（药剂）</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专业不限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仓库管理员（后勤）</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专业不限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配送员（后勤）</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专业不限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配送员（设备）</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专业不限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配送员（药剂）</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专业不限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收费员</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财务相关专业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外包项目监督员</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专业不限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宿舍管理员</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专业不限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技术工人（锅炉工）</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持锅炉安全操作（管理）上岗证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技术工人（司机）</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w:t>
                  </w:r>
                  <w:r>
                    <w:rPr>
                      <w:sz w:val="20"/>
                    </w:rPr>
                    <w:t>A类驾驶证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技术工人（电工）</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持高级电工上岗证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技术工人（污水处理）</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持污水处理上岗证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技术工人（氧气工）</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持有氧气设备安全作业（管理）证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消毒员</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大专</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卫生技术相关专业</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消防管理员</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不限</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消防设施操作员证或建（构）筑消防员资格证</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导乐员</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中专</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持导乐师证书</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bl>
          <w:p>
            <w:pPr>
              <w:pStyle w:val="null3"/>
              <w:jc w:val="both"/>
            </w:pPr>
            <w:r>
              <w:rPr>
                <w:sz w:val="20"/>
                <w:b/>
              </w:rPr>
              <w:t>注：</w:t>
            </w:r>
            <w:r>
              <w:rPr>
                <w:sz w:val="20"/>
              </w:rPr>
              <w:t>1、采购人有权按实际需要合理调整岗位及岗位人数服务人员需求，并根据实际情况支付相应的服务费用</w:t>
            </w:r>
            <w:r>
              <w:rPr>
                <w:sz w:val="20"/>
              </w:rPr>
              <w:t>，</w:t>
            </w:r>
            <w:r>
              <w:rPr>
                <w:sz w:val="20"/>
              </w:rPr>
              <w:t>若服务期间内出现新增岗位的，其岗位费用标准须经采购人审核同意后执行。</w:t>
            </w:r>
          </w:p>
          <w:p>
            <w:pPr>
              <w:pStyle w:val="null3"/>
              <w:jc w:val="both"/>
            </w:pPr>
            <w:r>
              <w:rPr>
                <w:sz w:val="20"/>
              </w:rPr>
              <w:t>2、为提高服务人员工作积极性，更好地完成</w:t>
            </w:r>
            <w:r>
              <w:rPr>
                <w:sz w:val="20"/>
              </w:rPr>
              <w:t>服务需求</w:t>
            </w:r>
            <w:r>
              <w:rPr>
                <w:sz w:val="20"/>
              </w:rPr>
              <w:t>，除常规待遇福利外，采购人根据不同岗位设立有</w:t>
            </w:r>
            <w:r>
              <w:rPr>
                <w:sz w:val="20"/>
              </w:rPr>
              <w:t>其他费用</w:t>
            </w:r>
            <w:r>
              <w:rPr>
                <w:sz w:val="20"/>
              </w:rPr>
              <w:t>，</w:t>
            </w:r>
            <w:r>
              <w:rPr>
                <w:sz w:val="20"/>
              </w:rPr>
              <w:t>其他费用总额为</w:t>
            </w:r>
            <w:r>
              <w:rPr>
                <w:sz w:val="20"/>
              </w:rPr>
              <w:t>470万元。</w:t>
            </w:r>
            <w:r>
              <w:rPr>
                <w:sz w:val="20"/>
              </w:rPr>
              <w:t>中标人</w:t>
            </w:r>
            <w:r>
              <w:rPr>
                <w:sz w:val="20"/>
              </w:rPr>
              <w:t>根据采购人确认的</w:t>
            </w:r>
            <w:r>
              <w:rPr>
                <w:sz w:val="20"/>
              </w:rPr>
              <w:t>其他费用</w:t>
            </w:r>
            <w:r>
              <w:rPr>
                <w:sz w:val="20"/>
              </w:rPr>
              <w:t>的实际使用金额数，在薪</w:t>
            </w:r>
            <w:r>
              <w:rPr>
                <w:sz w:val="20"/>
              </w:rPr>
              <w:t>资</w:t>
            </w:r>
            <w:r>
              <w:rPr>
                <w:sz w:val="20"/>
              </w:rPr>
              <w:t>发放时一并发给</w:t>
            </w:r>
            <w:r>
              <w:rPr>
                <w:sz w:val="20"/>
              </w:rPr>
              <w:t>相应岗位的工作</w:t>
            </w:r>
            <w:r>
              <w:rPr>
                <w:sz w:val="20"/>
              </w:rPr>
              <w:t>人员，采购人根据实际使用金额数与</w:t>
            </w:r>
            <w:r>
              <w:rPr>
                <w:sz w:val="20"/>
              </w:rPr>
              <w:t>中标人</w:t>
            </w:r>
            <w:r>
              <w:rPr>
                <w:sz w:val="20"/>
              </w:rPr>
              <w:t>进行结算。</w:t>
            </w:r>
          </w:p>
          <w:p>
            <w:pPr>
              <w:pStyle w:val="null3"/>
              <w:jc w:val="both"/>
            </w:pPr>
            <w:r>
              <w:rPr/>
              <w:t xml:space="preserve"> </w:t>
            </w:r>
          </w:p>
          <w:p>
            <w:pPr>
              <w:pStyle w:val="null3"/>
              <w:jc w:val="both"/>
            </w:pPr>
            <w:r>
              <w:rPr/>
              <w:t xml:space="preserve"> </w:t>
            </w:r>
          </w:p>
          <w:p>
            <w:pPr>
              <w:pStyle w:val="null3"/>
              <w:jc w:val="both"/>
            </w:pPr>
          </w:p>
        </w:tc>
      </w:tr>
      <w:tr>
        <w:tc>
          <w:tcPr>
            <w:tcW w:type="dxa" w:w="2076"/>
          </w:tcPr>
          <w:p/>
        </w:tc>
        <w:tc>
          <w:tcPr>
            <w:tcW w:type="dxa" w:w="415"/>
          </w:tcPr>
          <w:p>
            <w:pPr>
              <w:pStyle w:val="null3"/>
            </w:pPr>
            <w:r>
              <w:rPr/>
              <w:t>3</w:t>
            </w:r>
          </w:p>
        </w:tc>
        <w:tc>
          <w:tcPr>
            <w:tcW w:type="dxa" w:w="5814"/>
          </w:tcPr>
          <w:p>
            <w:pPr>
              <w:pStyle w:val="null3"/>
              <w:jc w:val="both"/>
            </w:pPr>
            <w:r>
              <w:rPr>
                <w:sz w:val="20"/>
                <w:b/>
              </w:rPr>
              <w:t>三、</w:t>
            </w:r>
            <w:r>
              <w:rPr>
                <w:sz w:val="20"/>
                <w:b/>
              </w:rPr>
              <w:t>项目要求</w:t>
            </w:r>
          </w:p>
          <w:p>
            <w:pPr>
              <w:pStyle w:val="null3"/>
            </w:pPr>
            <w:r>
              <w:rPr>
                <w:sz w:val="20"/>
              </w:rPr>
              <w:t>1</w:t>
            </w:r>
            <w:r>
              <w:rPr>
                <w:sz w:val="20"/>
              </w:rPr>
              <w:t>、</w:t>
            </w:r>
            <w:r>
              <w:rPr>
                <w:sz w:val="20"/>
              </w:rPr>
              <w:t>中标人</w:t>
            </w:r>
            <w:r>
              <w:rPr>
                <w:sz w:val="20"/>
              </w:rPr>
              <w:t>须设专人</w:t>
            </w:r>
            <w:r>
              <w:rPr>
                <w:sz w:val="20"/>
              </w:rPr>
              <w:t>驻场</w:t>
            </w:r>
            <w:r>
              <w:rPr>
                <w:sz w:val="20"/>
              </w:rPr>
              <w:t>负责日常事务管理和招聘工作，做好针对本项目的日常招聘和应急方案，常规岗位</w:t>
            </w:r>
            <w:r>
              <w:rPr>
                <w:sz w:val="20"/>
              </w:rPr>
              <w:t>1个月以内招聘到岗，特殊、紧急岗位15日以内招聘到岗，如有人员离岗，需提前一个月向采购人报备。</w:t>
            </w:r>
          </w:p>
          <w:p>
            <w:pPr>
              <w:pStyle w:val="null3"/>
            </w:pPr>
            <w:r>
              <w:rPr>
                <w:sz w:val="20"/>
              </w:rPr>
              <w:t>2、</w:t>
            </w:r>
            <w:r>
              <w:rPr>
                <w:sz w:val="20"/>
              </w:rPr>
              <w:t>中标人</w:t>
            </w:r>
            <w:r>
              <w:rPr>
                <w:sz w:val="20"/>
              </w:rPr>
              <w:t>负责服务人员的人员管理、</w:t>
            </w:r>
            <w:r>
              <w:rPr>
                <w:sz w:val="20"/>
              </w:rPr>
              <w:t>职称申报、</w:t>
            </w:r>
            <w:r>
              <w:rPr>
                <w:sz w:val="20"/>
              </w:rPr>
              <w:t>继续教育、证书管理及更新等工作，并协助采购人对服务人员的工作安排、培训、日常考核。</w:t>
            </w:r>
          </w:p>
          <w:p>
            <w:pPr>
              <w:pStyle w:val="null3"/>
            </w:pPr>
            <w:r>
              <w:rPr>
                <w:sz w:val="20"/>
              </w:rPr>
              <w:t>3.中标人需根据采购人的需求，制定科学合理的服务人员考核方案，每月对服务人员进行月度考核，次月10号前提交考核结果，考核合格者方可为采购人继续提供服务。</w:t>
            </w:r>
            <w:r>
              <w:rPr/>
              <w:t>具体的人员考核标准可以由采购人与服务商签订服务合同时，参照医院规章制度、处罚条款，咨询各用人部门后制定实施</w:t>
            </w:r>
            <w:r>
              <w:rPr/>
              <w:t>。</w:t>
            </w:r>
          </w:p>
          <w:p>
            <w:pPr>
              <w:pStyle w:val="null3"/>
            </w:pPr>
            <w:r>
              <w:rPr/>
              <w:t>4</w:t>
            </w:r>
            <w:r>
              <w:rPr>
                <w:sz w:val="20"/>
              </w:rPr>
              <w:t>、</w:t>
            </w:r>
            <w:r>
              <w:rPr>
                <w:sz w:val="20"/>
              </w:rPr>
              <w:t>如服务人员因采购人工作需要外出等公务活动，所产生的相关费用按照采购人相关制度标准先由中标人协助垫付，中标人需提供详细费用凭证等结算材料，在月度结算时向采购人按时在其他费用预算额度内结算。</w:t>
            </w:r>
          </w:p>
          <w:p>
            <w:pPr>
              <w:pStyle w:val="null3"/>
            </w:pPr>
            <w:r>
              <w:rPr>
                <w:sz w:val="20"/>
              </w:rPr>
              <w:t>5</w:t>
            </w:r>
            <w:r>
              <w:rPr>
                <w:sz w:val="20"/>
              </w:rPr>
              <w:t>、</w:t>
            </w:r>
            <w:r>
              <w:rPr>
                <w:sz w:val="20"/>
              </w:rPr>
              <w:t>中标人</w:t>
            </w:r>
            <w:r>
              <w:rPr>
                <w:sz w:val="20"/>
              </w:rPr>
              <w:t>应每年为服务人员进行体检，以保证服务人员的健康状况符合所从事的工作要求，</w:t>
            </w:r>
            <w:r>
              <w:rPr>
                <w:sz w:val="20"/>
              </w:rPr>
              <w:t>体检项目经采购人确认，所产生的相关费用按照采购人相关制度标准先由中标人协助垫付，中标人需提供详细费用凭证等结算材料，在月度结算时向采购人按时在其他费用预算额度内结算。</w:t>
            </w:r>
          </w:p>
          <w:p>
            <w:pPr>
              <w:pStyle w:val="null3"/>
            </w:pPr>
            <w:r>
              <w:rPr>
                <w:sz w:val="20"/>
              </w:rPr>
              <w:t>6、采购人如对辅助岗位服务人员提供相关补助产生的费用（如餐补等），相关补助费用由中标人按照采购人的标准（如结算金额、结算方式等）先协助垫付，中标人需提供详细费用凭证等结算材料，在月度结算时从其他费用预算额度内结算。</w:t>
            </w:r>
          </w:p>
          <w:p>
            <w:pPr>
              <w:pStyle w:val="null3"/>
            </w:pPr>
            <w:r>
              <w:rPr>
                <w:sz w:val="20"/>
              </w:rPr>
              <w:t>7</w:t>
            </w:r>
            <w:r>
              <w:rPr>
                <w:sz w:val="20"/>
              </w:rPr>
              <w:t>、</w:t>
            </w:r>
            <w:r>
              <w:rPr>
                <w:sz w:val="20"/>
              </w:rPr>
              <w:t>中标人</w:t>
            </w:r>
            <w:r>
              <w:rPr>
                <w:sz w:val="20"/>
              </w:rPr>
              <w:t>不得随意更换服务人员，如确需更换，非特殊原因（伤、残、病、亡）应提前与采购人沟通有关调配事宜，拟调配人员须通过采购人的面试。</w:t>
            </w:r>
          </w:p>
          <w:p>
            <w:pPr>
              <w:pStyle w:val="null3"/>
            </w:pPr>
            <w:r>
              <w:rPr>
                <w:sz w:val="20"/>
              </w:rPr>
              <w:t>8</w:t>
            </w:r>
            <w:r>
              <w:rPr>
                <w:sz w:val="20"/>
              </w:rPr>
              <w:t>、服务人员若发生病、伤、残、劳动合同终止（或解除）等情形（含安全、交通、防火、工伤和劳资纠纷等），均由</w:t>
            </w:r>
            <w:r>
              <w:rPr>
                <w:sz w:val="20"/>
              </w:rPr>
              <w:t>中标人</w:t>
            </w:r>
            <w:r>
              <w:rPr>
                <w:sz w:val="20"/>
              </w:rPr>
              <w:t>负责处理并承担所产生的经济补偿及其他一切相关费用。</w:t>
            </w:r>
          </w:p>
          <w:p>
            <w:pPr>
              <w:pStyle w:val="null3"/>
            </w:pPr>
            <w:r>
              <w:rPr>
                <w:sz w:val="20"/>
              </w:rPr>
              <w:t>9</w:t>
            </w:r>
            <w:r>
              <w:rPr>
                <w:sz w:val="20"/>
              </w:rPr>
              <w:t>、由于</w:t>
            </w:r>
            <w:r>
              <w:rPr>
                <w:sz w:val="20"/>
              </w:rPr>
              <w:t>中标人</w:t>
            </w:r>
            <w:r>
              <w:rPr>
                <w:sz w:val="20"/>
              </w:rPr>
              <w:t>管理不善，或因服务人员的过失给采购人或第三方造成损失的，由</w:t>
            </w:r>
            <w:r>
              <w:rPr>
                <w:sz w:val="20"/>
              </w:rPr>
              <w:t>中标人</w:t>
            </w:r>
            <w:r>
              <w:rPr>
                <w:sz w:val="20"/>
              </w:rPr>
              <w:t>应承担赔偿责任，采购人可配合</w:t>
            </w:r>
            <w:r>
              <w:rPr>
                <w:sz w:val="20"/>
              </w:rPr>
              <w:t>中标人</w:t>
            </w:r>
            <w:r>
              <w:rPr>
                <w:sz w:val="20"/>
              </w:rPr>
              <w:t>按有关规定对相关责任方进行追偿。</w:t>
            </w:r>
          </w:p>
          <w:p>
            <w:pPr>
              <w:pStyle w:val="null3"/>
            </w:pPr>
            <w:r>
              <w:rPr>
                <w:sz w:val="20"/>
              </w:rPr>
              <w:t>10</w:t>
            </w:r>
            <w:r>
              <w:rPr>
                <w:sz w:val="20"/>
              </w:rPr>
              <w:t>、</w:t>
            </w:r>
            <w:r>
              <w:rPr>
                <w:sz w:val="20"/>
              </w:rPr>
              <w:t>中标人</w:t>
            </w:r>
            <w:r>
              <w:rPr>
                <w:sz w:val="20"/>
              </w:rPr>
              <w:t>应按国家、省、市有关法律法规与本项目的服务人员签订正式劳动合同，负责服务人员的薪</w:t>
            </w:r>
            <w:r>
              <w:rPr>
                <w:sz w:val="20"/>
              </w:rPr>
              <w:t>资</w:t>
            </w:r>
            <w:r>
              <w:rPr>
                <w:sz w:val="20"/>
              </w:rPr>
              <w:t>发放、缴交社会保险和住房公积金、办理个人所得税代扣代缴、缴纳五险一金（养老保险、医疗保险、工伤保险、失业保险、住房公积金）单位负担部分等事宜。如因国家或地方政策影响、经济环境变化造成包括基本工资在内的整体项目实施费用浮动风险，成本增加，须由</w:t>
            </w:r>
            <w:r>
              <w:rPr>
                <w:sz w:val="20"/>
              </w:rPr>
              <w:t>中标人</w:t>
            </w:r>
            <w:r>
              <w:rPr>
                <w:sz w:val="20"/>
              </w:rPr>
              <w:t>全部承担，采购人不另外支付任何费用。</w:t>
            </w:r>
          </w:p>
          <w:p>
            <w:pPr>
              <w:pStyle w:val="null3"/>
            </w:pPr>
            <w:r>
              <w:rPr>
                <w:sz w:val="20"/>
              </w:rPr>
              <w:t>11</w:t>
            </w:r>
            <w:r>
              <w:rPr>
                <w:sz w:val="20"/>
              </w:rPr>
              <w:t>、</w:t>
            </w:r>
            <w:r>
              <w:rPr>
                <w:sz w:val="20"/>
              </w:rPr>
              <w:t>中标人</w:t>
            </w:r>
            <w:r>
              <w:rPr>
                <w:sz w:val="20"/>
              </w:rPr>
              <w:t>必须</w:t>
            </w:r>
            <w:r>
              <w:rPr>
                <w:sz w:val="20"/>
              </w:rPr>
              <w:t>每月将</w:t>
            </w:r>
            <w:r>
              <w:rPr>
                <w:sz w:val="20"/>
              </w:rPr>
              <w:t>上月份</w:t>
            </w:r>
            <w:r>
              <w:rPr>
                <w:sz w:val="20"/>
              </w:rPr>
              <w:t>所有</w:t>
            </w:r>
            <w:r>
              <w:rPr>
                <w:sz w:val="20"/>
              </w:rPr>
              <w:t>辅助岗位</w:t>
            </w:r>
            <w:r>
              <w:rPr>
                <w:sz w:val="20"/>
              </w:rPr>
              <w:t>服务人员</w:t>
            </w:r>
            <w:r>
              <w:rPr>
                <w:sz w:val="20"/>
              </w:rPr>
              <w:t>的费用明细</w:t>
            </w:r>
            <w:r>
              <w:rPr>
                <w:sz w:val="20"/>
              </w:rPr>
              <w:t>提交医院人事部门备案</w:t>
            </w:r>
            <w:r>
              <w:rPr>
                <w:sz w:val="20"/>
              </w:rPr>
              <w:t>并同意后才能发放</w:t>
            </w:r>
            <w:r>
              <w:rPr>
                <w:sz w:val="20"/>
              </w:rPr>
              <w:t>。</w:t>
            </w:r>
            <w:r>
              <w:rPr>
                <w:sz w:val="20"/>
              </w:rPr>
              <w:t>中标人</w:t>
            </w:r>
            <w:r>
              <w:rPr>
                <w:sz w:val="20"/>
              </w:rPr>
              <w:t>不得无故扣减或变相扣减岗位人员的工资、奖金及其他福利，采购人有权核实</w:t>
            </w:r>
            <w:r>
              <w:rPr>
                <w:sz w:val="20"/>
              </w:rPr>
              <w:t>中标人</w:t>
            </w:r>
            <w:r>
              <w:rPr>
                <w:sz w:val="20"/>
              </w:rPr>
              <w:t>每个月支付的所有</w:t>
            </w:r>
            <w:r>
              <w:rPr>
                <w:sz w:val="20"/>
              </w:rPr>
              <w:t>费用</w:t>
            </w:r>
            <w:r>
              <w:rPr>
                <w:sz w:val="20"/>
              </w:rPr>
              <w:t>费用（包括所购买的社保等福利</w:t>
            </w:r>
            <w:r>
              <w:rPr>
                <w:sz w:val="20"/>
              </w:rPr>
              <w:t>等</w:t>
            </w:r>
            <w:r>
              <w:rPr>
                <w:sz w:val="20"/>
              </w:rPr>
              <w:t>），如所支付的薪金不符合标准或支付的薪金账目有违法违规情况的，由</w:t>
            </w:r>
            <w:r>
              <w:rPr>
                <w:sz w:val="20"/>
              </w:rPr>
              <w:t>中标人</w:t>
            </w:r>
            <w:r>
              <w:rPr>
                <w:sz w:val="20"/>
              </w:rPr>
              <w:t>承担一切的法律责任或刑事责任。</w:t>
            </w:r>
          </w:p>
          <w:p>
            <w:pPr>
              <w:pStyle w:val="null3"/>
            </w:pPr>
            <w:r>
              <w:rPr>
                <w:sz w:val="20"/>
              </w:rPr>
              <w:t>1</w:t>
            </w:r>
            <w:r>
              <w:rPr>
                <w:sz w:val="20"/>
              </w:rPr>
              <w:t>2</w:t>
            </w:r>
            <w:r>
              <w:rPr>
                <w:sz w:val="20"/>
              </w:rPr>
              <w:t>、中标人</w:t>
            </w:r>
            <w:r>
              <w:rPr>
                <w:sz w:val="20"/>
              </w:rPr>
              <w:t>必须</w:t>
            </w:r>
            <w:r>
              <w:rPr>
                <w:sz w:val="20"/>
              </w:rPr>
              <w:t>每月</w:t>
            </w:r>
            <w:r>
              <w:rPr>
                <w:sz w:val="20"/>
              </w:rPr>
              <w:t>30日前提交上月</w:t>
            </w:r>
            <w:r>
              <w:rPr>
                <w:sz w:val="20"/>
              </w:rPr>
              <w:t>辅助岗位</w:t>
            </w:r>
            <w:r>
              <w:rPr>
                <w:sz w:val="20"/>
              </w:rPr>
              <w:t>服务人员薪</w:t>
            </w:r>
            <w:r>
              <w:rPr>
                <w:sz w:val="20"/>
              </w:rPr>
              <w:t>资</w:t>
            </w:r>
            <w:r>
              <w:rPr>
                <w:sz w:val="20"/>
              </w:rPr>
              <w:t>福利月占比及依据材料清单的纸质版及电子版给</w:t>
            </w:r>
            <w:r>
              <w:rPr>
                <w:sz w:val="20"/>
              </w:rPr>
              <w:t>采购人</w:t>
            </w:r>
            <w:r>
              <w:rPr>
                <w:sz w:val="20"/>
              </w:rPr>
              <w:t>人事部门复核。</w:t>
            </w:r>
          </w:p>
          <w:p>
            <w:pPr>
              <w:pStyle w:val="null3"/>
              <w:jc w:val="left"/>
            </w:pPr>
            <w:r>
              <w:rPr>
                <w:sz w:val="20"/>
              </w:rPr>
              <w:t>13</w:t>
            </w:r>
            <w:r>
              <w:rPr>
                <w:sz w:val="20"/>
              </w:rPr>
              <w:t>、服务期内，如出现三期员工</w:t>
            </w:r>
            <w:r>
              <w:rPr>
                <w:sz w:val="20"/>
              </w:rPr>
              <w:t>(孕期、产期、哺乳期)的，</w:t>
            </w:r>
            <w:r>
              <w:rPr>
                <w:sz w:val="21"/>
              </w:rPr>
              <w:t>根据采购人需求，</w:t>
            </w:r>
            <w:r>
              <w:rPr>
                <w:sz w:val="20"/>
              </w:rPr>
              <w:t>如</w:t>
            </w:r>
            <w:r>
              <w:rPr>
                <w:sz w:val="20"/>
              </w:rPr>
              <w:t>需安排其他人员对上述岗位进行顶岗的，</w:t>
            </w:r>
            <w:r>
              <w:rPr>
                <w:sz w:val="20"/>
              </w:rPr>
              <w:t>顶岗所产生的相关费用由中标人负责。</w:t>
            </w:r>
          </w:p>
          <w:p>
            <w:pPr>
              <w:pStyle w:val="null3"/>
            </w:pPr>
            <w:r>
              <w:rPr>
                <w:sz w:val="20"/>
              </w:rPr>
              <w:t>1</w:t>
            </w:r>
            <w:r>
              <w:rPr>
                <w:sz w:val="20"/>
              </w:rPr>
              <w:t>4</w:t>
            </w:r>
            <w:r>
              <w:rPr>
                <w:sz w:val="20"/>
              </w:rPr>
              <w:t>、若服务人员出勤不足</w:t>
            </w:r>
            <w:r>
              <w:rPr>
                <w:sz w:val="20"/>
              </w:rPr>
              <w:t>1个月的(三期员工除外)，该月服务人员的</w:t>
            </w:r>
            <w:r>
              <w:rPr>
                <w:sz w:val="20"/>
              </w:rPr>
              <w:t>费用</w:t>
            </w:r>
            <w:r>
              <w:rPr>
                <w:sz w:val="20"/>
              </w:rPr>
              <w:t>部分等，</w:t>
            </w:r>
            <w:r>
              <w:rPr>
                <w:sz w:val="20"/>
              </w:rPr>
              <w:t>采购人</w:t>
            </w:r>
            <w:r>
              <w:rPr>
                <w:sz w:val="20"/>
              </w:rPr>
              <w:t>可按缺岗天数作相应扣减，但除此之外的费用则按整月结算。</w:t>
            </w:r>
          </w:p>
          <w:p>
            <w:pPr>
              <w:pStyle w:val="null3"/>
            </w:pPr>
            <w:r>
              <w:rPr>
                <w:sz w:val="20"/>
              </w:rPr>
              <w:t>1</w:t>
            </w:r>
            <w:r>
              <w:rPr>
                <w:sz w:val="20"/>
              </w:rPr>
              <w:t>5</w:t>
            </w:r>
            <w:r>
              <w:rPr>
                <w:sz w:val="20"/>
              </w:rPr>
              <w:t>、采购人或政府相关部门因专项任务对服务人员发放的任何奖励、津贴、</w:t>
            </w:r>
            <w:r>
              <w:rPr>
                <w:sz w:val="20"/>
              </w:rPr>
              <w:t>补贴等</w:t>
            </w:r>
            <w:r>
              <w:rPr>
                <w:sz w:val="20"/>
              </w:rPr>
              <w:t>，应足额及时发放给</w:t>
            </w:r>
            <w:r>
              <w:rPr>
                <w:sz w:val="20"/>
              </w:rPr>
              <w:t>辅助岗位</w:t>
            </w:r>
            <w:r>
              <w:rPr>
                <w:sz w:val="20"/>
              </w:rPr>
              <w:t>服务人员，</w:t>
            </w:r>
            <w:r>
              <w:rPr>
                <w:sz w:val="20"/>
              </w:rPr>
              <w:t>中标人</w:t>
            </w:r>
            <w:r>
              <w:rPr>
                <w:sz w:val="20"/>
              </w:rPr>
              <w:t>不得截留、克扣、挪用或从中抽取任何服务管理费用，并接受采购人的监督。</w:t>
            </w:r>
          </w:p>
          <w:p>
            <w:pPr>
              <w:pStyle w:val="null3"/>
            </w:pPr>
            <w:r>
              <w:rPr>
                <w:sz w:val="20"/>
              </w:rPr>
              <w:t>1</w:t>
            </w:r>
            <w:r>
              <w:rPr>
                <w:sz w:val="20"/>
              </w:rPr>
              <w:t>6</w:t>
            </w:r>
            <w:r>
              <w:rPr>
                <w:sz w:val="20"/>
              </w:rPr>
              <w:t>、中标人</w:t>
            </w:r>
            <w:r>
              <w:rPr>
                <w:sz w:val="20"/>
              </w:rPr>
              <w:t>所收取的辅助岗位</w:t>
            </w:r>
            <w:r>
              <w:rPr>
                <w:sz w:val="20"/>
              </w:rPr>
              <w:t>服务人员平均综合服务费不超</w:t>
            </w:r>
            <w:r>
              <w:rPr>
                <w:sz w:val="20"/>
              </w:rPr>
              <w:t>280</w:t>
            </w:r>
            <w:r>
              <w:rPr>
                <w:sz w:val="20"/>
              </w:rPr>
              <w:t>元</w:t>
            </w:r>
            <w:r>
              <w:rPr>
                <w:sz w:val="20"/>
              </w:rPr>
              <w:t>/人/月，如</w:t>
            </w:r>
            <w:r>
              <w:rPr>
                <w:sz w:val="20"/>
              </w:rPr>
              <w:t>中标人</w:t>
            </w:r>
            <w:r>
              <w:rPr>
                <w:sz w:val="20"/>
              </w:rPr>
              <w:t>收取的费用如超过最高限额则视为</w:t>
            </w:r>
            <w:r>
              <w:rPr>
                <w:sz w:val="20"/>
              </w:rPr>
              <w:t>中标人</w:t>
            </w:r>
            <w:r>
              <w:rPr>
                <w:sz w:val="20"/>
              </w:rPr>
              <w:t>违约，</w:t>
            </w:r>
            <w:r>
              <w:rPr>
                <w:sz w:val="20"/>
              </w:rPr>
              <w:t>中标人</w:t>
            </w:r>
            <w:r>
              <w:rPr>
                <w:sz w:val="20"/>
              </w:rPr>
              <w:t>须</w:t>
            </w:r>
            <w:r>
              <w:rPr>
                <w:sz w:val="20"/>
              </w:rPr>
              <w:t>将超出部分金额发放给服务外包人员，并按合同期内实际已支付服务外包人员总服务费的</w:t>
            </w:r>
            <w:r>
              <w:rPr>
                <w:sz w:val="20"/>
              </w:rPr>
              <w:t>1%</w:t>
            </w:r>
            <w:r>
              <w:rPr>
                <w:sz w:val="20"/>
              </w:rPr>
              <w:t>计算违约金</w:t>
            </w:r>
            <w:r>
              <w:rPr>
                <w:sz w:val="20"/>
              </w:rPr>
              <w:t>，</w:t>
            </w:r>
            <w:r>
              <w:rPr>
                <w:sz w:val="20"/>
              </w:rPr>
              <w:t>由中标人</w:t>
            </w:r>
            <w:r>
              <w:rPr>
                <w:sz w:val="20"/>
              </w:rPr>
              <w:t>向</w:t>
            </w:r>
            <w:r>
              <w:rPr>
                <w:sz w:val="20"/>
              </w:rPr>
              <w:t>采购人</w:t>
            </w:r>
            <w:r>
              <w:rPr>
                <w:sz w:val="20"/>
              </w:rPr>
              <w:t>支付。</w:t>
            </w:r>
          </w:p>
          <w:p>
            <w:pPr>
              <w:pStyle w:val="null3"/>
            </w:pPr>
            <w:r>
              <w:rPr>
                <w:sz w:val="20"/>
              </w:rPr>
              <w:t>1</w:t>
            </w:r>
            <w:r>
              <w:rPr>
                <w:sz w:val="20"/>
              </w:rPr>
              <w:t>7</w:t>
            </w:r>
            <w:r>
              <w:rPr>
                <w:sz w:val="20"/>
              </w:rPr>
              <w:t>、服务期内，如服务人员经社保局认定为工伤的，按工伤处理流程执行。</w:t>
            </w:r>
          </w:p>
          <w:p>
            <w:pPr>
              <w:pStyle w:val="null3"/>
            </w:pPr>
            <w:r>
              <w:rPr>
                <w:sz w:val="20"/>
              </w:rPr>
              <w:t>1</w:t>
            </w:r>
            <w:r>
              <w:rPr>
                <w:sz w:val="20"/>
              </w:rPr>
              <w:t>8</w:t>
            </w:r>
            <w:r>
              <w:rPr>
                <w:sz w:val="20"/>
              </w:rPr>
              <w:t>、</w:t>
            </w:r>
            <w:r>
              <w:rPr>
                <w:sz w:val="20"/>
              </w:rPr>
              <w:t>中标人</w:t>
            </w:r>
            <w:r>
              <w:rPr>
                <w:sz w:val="20"/>
              </w:rPr>
              <w:t>须按照国家相关规定，做好</w:t>
            </w:r>
            <w:r>
              <w:rPr>
                <w:sz w:val="20"/>
              </w:rPr>
              <w:t>辅助岗位</w:t>
            </w:r>
            <w:r>
              <w:rPr>
                <w:sz w:val="20"/>
              </w:rPr>
              <w:t>服务人员的计划生育管理、工会组织</w:t>
            </w:r>
            <w:r>
              <w:rPr>
                <w:sz w:val="20"/>
              </w:rPr>
              <w:t>管理</w:t>
            </w:r>
            <w:r>
              <w:rPr>
                <w:sz w:val="20"/>
              </w:rPr>
              <w:t>、</w:t>
            </w:r>
            <w:r>
              <w:rPr>
                <w:sz w:val="20"/>
              </w:rPr>
              <w:t>残疾人保障金管理等</w:t>
            </w:r>
            <w:r>
              <w:rPr>
                <w:sz w:val="20"/>
              </w:rPr>
              <w:t>工作并承担相应的责任。</w:t>
            </w:r>
          </w:p>
          <w:p>
            <w:pPr>
              <w:pStyle w:val="null3"/>
            </w:pPr>
            <w:r>
              <w:rPr>
                <w:sz w:val="20"/>
              </w:rPr>
              <w:t>1</w:t>
            </w:r>
            <w:r>
              <w:rPr>
                <w:sz w:val="20"/>
              </w:rPr>
              <w:t>9</w:t>
            </w:r>
            <w:r>
              <w:rPr>
                <w:sz w:val="20"/>
              </w:rPr>
              <w:t>、</w:t>
            </w:r>
            <w:r>
              <w:rPr>
                <w:sz w:val="20"/>
              </w:rPr>
              <w:t>中标人</w:t>
            </w:r>
            <w:r>
              <w:rPr>
                <w:sz w:val="20"/>
              </w:rPr>
              <w:t>签订合同前必须按照国家相关保密规定和采购人签订《保密协议》，对违反《保密协议》相关内容规定的，采购人有权追究其法律责任。</w:t>
            </w:r>
          </w:p>
          <w:p>
            <w:pPr>
              <w:pStyle w:val="null3"/>
            </w:pPr>
            <w:r>
              <w:rPr>
                <w:sz w:val="20"/>
              </w:rPr>
              <w:t>★</w:t>
            </w:r>
            <w:r>
              <w:rPr>
                <w:sz w:val="20"/>
              </w:rPr>
              <w:t>20</w:t>
            </w:r>
            <w:r>
              <w:rPr>
                <w:sz w:val="20"/>
              </w:rPr>
              <w:t>、服务期满或合同提前解除后，如采购人未能确定新的服务公司，</w:t>
            </w:r>
            <w:r>
              <w:rPr>
                <w:sz w:val="20"/>
              </w:rPr>
              <w:t>中标人</w:t>
            </w:r>
            <w:r>
              <w:rPr>
                <w:sz w:val="20"/>
              </w:rPr>
              <w:t>须按本</w:t>
            </w:r>
            <w:r>
              <w:rPr>
                <w:sz w:val="20"/>
              </w:rPr>
              <w:t>项目</w:t>
            </w:r>
            <w:r>
              <w:rPr>
                <w:sz w:val="20"/>
              </w:rPr>
              <w:t>合同约定的服务条款继续履行服务工作，采购人按本</w:t>
            </w:r>
            <w:r>
              <w:rPr>
                <w:sz w:val="20"/>
              </w:rPr>
              <w:t>项目</w:t>
            </w:r>
            <w:r>
              <w:rPr>
                <w:sz w:val="20"/>
              </w:rPr>
              <w:t>合同约定结算方式支付费用，但不得超过原合同</w:t>
            </w:r>
            <w:r>
              <w:rPr>
                <w:sz w:val="20"/>
              </w:rPr>
              <w:t>总</w:t>
            </w:r>
            <w:r>
              <w:rPr>
                <w:sz w:val="20"/>
              </w:rPr>
              <w:t>结算金额的</w:t>
            </w:r>
            <w:r>
              <w:rPr>
                <w:sz w:val="20"/>
              </w:rPr>
              <w:t>10%。</w:t>
            </w:r>
            <w:r>
              <w:rPr>
                <w:sz w:val="20"/>
              </w:rPr>
              <w:t>中标人</w:t>
            </w:r>
            <w:r>
              <w:rPr>
                <w:sz w:val="20"/>
              </w:rPr>
              <w:t>须积极配合采购人和新中标服务公司进行交接手续，直到新的服务公司进场完成交接工作</w:t>
            </w:r>
            <w:r>
              <w:rPr>
                <w:sz w:val="20"/>
                <w:b/>
              </w:rPr>
              <w:t>（</w:t>
            </w:r>
            <w:r>
              <w:rPr>
                <w:sz w:val="20"/>
                <w:b/>
              </w:rPr>
              <w:t>提供承诺书，格式自拟</w:t>
            </w:r>
            <w:r>
              <w:rPr>
                <w:sz w:val="20"/>
                <w:b/>
              </w:rPr>
              <w:t>）</w:t>
            </w:r>
            <w:r>
              <w:rPr>
                <w:sz w:val="20"/>
              </w:rPr>
              <w:t>。</w:t>
            </w:r>
          </w:p>
          <w:p>
            <w:pPr>
              <w:pStyle w:val="null3"/>
            </w:pPr>
            <w:r>
              <w:rPr>
                <w:sz w:val="20"/>
              </w:rPr>
              <w:t>★</w:t>
            </w:r>
            <w:r>
              <w:rPr>
                <w:sz w:val="20"/>
              </w:rPr>
              <w:t>21</w:t>
            </w:r>
            <w:r>
              <w:rPr>
                <w:sz w:val="20"/>
              </w:rPr>
              <w:t>、对目前已在采购人处</w:t>
            </w:r>
            <w:r>
              <w:rPr>
                <w:sz w:val="20"/>
              </w:rPr>
              <w:t>辅助岗位工作</w:t>
            </w:r>
            <w:r>
              <w:rPr>
                <w:sz w:val="20"/>
              </w:rPr>
              <w:t>的人员，</w:t>
            </w:r>
            <w:r>
              <w:rPr>
                <w:sz w:val="20"/>
              </w:rPr>
              <w:t>中标人</w:t>
            </w:r>
            <w:r>
              <w:rPr>
                <w:sz w:val="20"/>
              </w:rPr>
              <w:t>应优先招聘录用。</w:t>
            </w:r>
            <w:r>
              <w:rPr>
                <w:sz w:val="20"/>
                <w:b/>
              </w:rPr>
              <w:t>（</w:t>
            </w:r>
            <w:r>
              <w:rPr>
                <w:sz w:val="20"/>
                <w:b/>
              </w:rPr>
              <w:t>提供承诺书，格式自拟</w:t>
            </w:r>
            <w:r>
              <w:rPr>
                <w:sz w:val="20"/>
                <w:b/>
              </w:rPr>
              <w:t>）</w:t>
            </w:r>
          </w:p>
          <w:p>
            <w:pPr>
              <w:pStyle w:val="null3"/>
            </w:pPr>
            <w:r>
              <w:rPr/>
              <w:t xml:space="preserve"> </w:t>
            </w:r>
          </w:p>
          <w:p>
            <w:pPr>
              <w:pStyle w:val="null3"/>
            </w:pPr>
          </w:p>
        </w:tc>
      </w:tr>
      <w:tr>
        <w:tc>
          <w:tcPr>
            <w:tcW w:type="dxa" w:w="2076"/>
          </w:tcPr>
          <w:p/>
        </w:tc>
        <w:tc>
          <w:tcPr>
            <w:tcW w:type="dxa" w:w="415"/>
          </w:tcPr>
          <w:p>
            <w:pPr>
              <w:pStyle w:val="null3"/>
            </w:pPr>
            <w:r>
              <w:rPr/>
              <w:t>4</w:t>
            </w:r>
          </w:p>
        </w:tc>
        <w:tc>
          <w:tcPr>
            <w:tcW w:type="dxa" w:w="5814"/>
          </w:tcPr>
          <w:p>
            <w:pPr>
              <w:pStyle w:val="null3"/>
              <w:jc w:val="both"/>
            </w:pPr>
            <w:r>
              <w:rPr>
                <w:sz w:val="20"/>
                <w:b/>
              </w:rPr>
              <w:t>四</w:t>
            </w:r>
            <w:r>
              <w:rPr>
                <w:sz w:val="20"/>
                <w:b/>
              </w:rPr>
              <w:t>、服务考评标准或考核要求</w:t>
            </w:r>
          </w:p>
          <w:p>
            <w:pPr>
              <w:pStyle w:val="null3"/>
              <w:jc w:val="both"/>
            </w:pPr>
            <w:r>
              <w:rPr>
                <w:sz w:val="20"/>
              </w:rPr>
              <w:t>1、总体服务考评标准</w:t>
            </w:r>
          </w:p>
          <w:tbl>
            <w:tblPr>
              <w:tblBorders>
                <w:top w:val="none" w:color="000000" w:sz="4"/>
                <w:left w:val="none" w:color="000000" w:sz="4"/>
                <w:bottom w:val="none" w:color="000000" w:sz="4"/>
                <w:right w:val="none" w:color="000000" w:sz="4"/>
                <w:insideH w:val="none"/>
                <w:insideV w:val="none"/>
              </w:tblBorders>
            </w:tblPr>
            <w:tblGrid>
              <w:gridCol w:w="545"/>
              <w:gridCol w:w="1442"/>
              <w:gridCol w:w="1294"/>
              <w:gridCol w:w="2305"/>
            </w:tblGrid>
            <w:tr>
              <w:tc>
                <w:tcPr>
                  <w:tcW w:type="dxa" w:w="545"/>
                  <w:tcBorders>
                    <w:top w:val="double" w:color="000000" w:sz="4"/>
                    <w:left w:val="doub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b/>
                    </w:rPr>
                    <w:t>考核项目</w:t>
                  </w:r>
                </w:p>
              </w:tc>
              <w:tc>
                <w:tcPr>
                  <w:tcW w:type="dxa" w:w="1442"/>
                  <w:tcBorders>
                    <w:top w:val="doub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b/>
                    </w:rPr>
                    <w:t>考核内容</w:t>
                  </w:r>
                </w:p>
              </w:tc>
              <w:tc>
                <w:tcPr>
                  <w:tcW w:type="dxa" w:w="1294"/>
                  <w:tcBorders>
                    <w:top w:val="doub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b/>
                    </w:rPr>
                    <w:t>扣分或加分标准</w:t>
                  </w:r>
                </w:p>
              </w:tc>
              <w:tc>
                <w:tcPr>
                  <w:tcW w:type="dxa" w:w="2305"/>
                  <w:tcBorders>
                    <w:top w:val="doub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center"/>
                  </w:pPr>
                  <w:r>
                    <w:rPr>
                      <w:sz w:val="20"/>
                      <w:b/>
                    </w:rPr>
                    <w:t>经济扣罚或奖励标准及其他补充说明</w:t>
                  </w:r>
                </w:p>
              </w:tc>
            </w:tr>
            <w:tr>
              <w:tc>
                <w:tcPr>
                  <w:tcW w:type="dxa" w:w="545"/>
                  <w:vMerge w:val="restart"/>
                  <w:tcBorders>
                    <w:top w:val="single" w:color="000000" w:sz="4"/>
                    <w:left w:val="doub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一、服务团队建设</w:t>
                  </w: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1、未经培训的或人员不符合服务基本条件。</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2分/人</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100元/人，采购人有权要求更换相关人员并追究有关责任，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2、未按时签订劳动合同或发放工资、补助、购买社保的。</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2.5分/人(任一项)</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100元/人(任一项)。</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3、少配置人员的（且7天内未按要求补齐）。</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10分/人</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按缺岗人员的发放工资标准等额扣除对应缺天数的费用，采购人有权要求补齐人员，</w:t>
                  </w:r>
                  <w:r>
                    <w:rPr>
                      <w:sz w:val="20"/>
                    </w:rPr>
                    <w:t>中标人</w:t>
                  </w:r>
                  <w:r>
                    <w:rPr>
                      <w:sz w:val="20"/>
                    </w:rPr>
                    <w:t>应按采购人要求补齐人员。</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4、人员稳定性高，每个月的离职率最高不超过5%。</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每超</w:t>
                  </w:r>
                  <w:r>
                    <w:rPr>
                      <w:sz w:val="20"/>
                    </w:rPr>
                    <w:t>1%扣2分</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采购人有权要求补齐人员，</w:t>
                  </w:r>
                  <w:r>
                    <w:rPr>
                      <w:sz w:val="20"/>
                    </w:rPr>
                    <w:t>中标人</w:t>
                  </w:r>
                  <w:r>
                    <w:rPr>
                      <w:sz w:val="20"/>
                    </w:rPr>
                    <w:t>应按采购人要求补齐人员。</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5、值班人员脱岗的。</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扣</w:t>
                  </w:r>
                  <w:r>
                    <w:rPr>
                      <w:sz w:val="20"/>
                    </w:rPr>
                    <w:t>1分/人/次(备注:值班人员在接到通知后10分钟内未到达指定位置的、上班时间离开上班安排区域或做其他与本职工作无关工作的,扣1分/人:同一个人一个月内脱岗2次以上(含2次)扣2分/次。)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100元/人/次(备注: 值班人员在接到通知后10分钟内未到达指定位置的、上班时间离开上班安排区域或做其他与本职工作无关工作的,扣款100元/人;同一个人一个月内脱岗2次以上(含2次)扣款300元/次)。 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6、发生与工作相关的“吃、拿、卡、要”</w:t>
                  </w:r>
                  <w:r>
                    <w:rPr>
                      <w:sz w:val="20"/>
                    </w:rPr>
                    <w:t>收受贿赂、贪污</w:t>
                  </w:r>
                  <w:r>
                    <w:rPr>
                      <w:sz w:val="20"/>
                    </w:rPr>
                    <w:t>等问题</w:t>
                  </w:r>
                  <w:r>
                    <w:rPr>
                      <w:sz w:val="20"/>
                    </w:rPr>
                    <w:t>:发生有责纠纷及其它事情等,造成不良影响的。</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10分/次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200元/次:造成严重后果及影响的.500元/次。采购人有权要求更换相关人员并追究有关责任，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7、出现仪容不整、着装不整、证件、值勤标志佩戴不齐的。</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0.5分/人/次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50元/人/次，采购人有权要求更换相关人员并追究有关责任，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8、出现工作态度粗暴、野蛮、语言不文明等言行举止不当的。</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1分/人/次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50元/人/次，采购人有权要求更换相关人员并追究有关责任，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9、出现</w:t>
                  </w:r>
                  <w:r>
                    <w:rPr>
                      <w:sz w:val="20"/>
                    </w:rPr>
                    <w:t>中标人</w:t>
                  </w:r>
                  <w:r>
                    <w:rPr>
                      <w:sz w:val="20"/>
                    </w:rPr>
                    <w:t>不配合监督检查的。</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2分/次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100元/次，采购人有权要求更换相关人员并追究有关责任，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10、未按要求上报相关工作情况信息的。</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2分/次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100元/次，采购人有权要求更换相关人员并追究有关责任，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11、擅自调整工作安排的。</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2分/次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100元/次，采购人有权要求更换相关人员并追究有关责任，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12、</w:t>
                  </w:r>
                  <w:r>
                    <w:rPr>
                      <w:sz w:val="20"/>
                    </w:rPr>
                    <w:t>中标人</w:t>
                  </w:r>
                  <w:r>
                    <w:rPr>
                      <w:sz w:val="20"/>
                    </w:rPr>
                    <w:t>根据职责不能有效制止或处理的违反管理规定的行为</w:t>
                  </w:r>
                  <w:r>
                    <w:rPr>
                      <w:sz w:val="20"/>
                    </w:rPr>
                    <w:t>,未及时上报的。</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2分/次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100元/次，采购人有权要求更换相关人员并追究有关责任，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1</w:t>
                  </w:r>
                  <w:r>
                    <w:rPr>
                      <w:sz w:val="20"/>
                    </w:rPr>
                    <w:t>3</w:t>
                  </w:r>
                  <w:r>
                    <w:rPr>
                      <w:sz w:val="20"/>
                    </w:rPr>
                    <w:t>、采购人用人部门对外包人员提供的服务满意度情况。</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满意度达</w:t>
                  </w:r>
                  <w:r>
                    <w:rPr>
                      <w:sz w:val="20"/>
                    </w:rPr>
                    <w:t>90%或以上，</w:t>
                  </w:r>
                  <w:r>
                    <w:rPr>
                      <w:sz w:val="20"/>
                    </w:rPr>
                    <w:t>不扣分</w:t>
                  </w:r>
                  <w:r>
                    <w:rPr>
                      <w:sz w:val="20"/>
                    </w:rPr>
                    <w:t>；</w:t>
                  </w:r>
                </w:p>
                <w:p>
                  <w:pPr>
                    <w:pStyle w:val="null3"/>
                    <w:jc w:val="both"/>
                  </w:pPr>
                  <w:r>
                    <w:rPr>
                      <w:sz w:val="20"/>
                    </w:rPr>
                    <w:t>满意度</w:t>
                  </w:r>
                  <w:r>
                    <w:rPr>
                      <w:sz w:val="20"/>
                    </w:rPr>
                    <w:t>80%-90%</w:t>
                  </w:r>
                  <w:r>
                    <w:rPr>
                      <w:sz w:val="20"/>
                    </w:rPr>
                    <w:t>区间，较</w:t>
                  </w:r>
                  <w:r>
                    <w:rPr>
                      <w:sz w:val="20"/>
                    </w:rPr>
                    <w:t>90%每降低1%的扣0.5分</w:t>
                  </w:r>
                  <w:r>
                    <w:rPr>
                      <w:sz w:val="20"/>
                    </w:rPr>
                    <w:t>；</w:t>
                  </w:r>
                </w:p>
                <w:p>
                  <w:pPr>
                    <w:pStyle w:val="null3"/>
                    <w:jc w:val="both"/>
                  </w:pPr>
                  <w:r>
                    <w:rPr>
                      <w:sz w:val="20"/>
                    </w:rPr>
                    <w:t>满意度低于</w:t>
                  </w:r>
                  <w:r>
                    <w:rPr>
                      <w:sz w:val="20"/>
                    </w:rPr>
                    <w:t>80%，每低</w:t>
                  </w:r>
                  <w:r>
                    <w:rPr>
                      <w:sz w:val="20"/>
                    </w:rPr>
                    <w:t>1</w:t>
                  </w:r>
                  <w:r>
                    <w:rPr>
                      <w:sz w:val="20"/>
                    </w:rPr>
                    <w:t>%扣</w:t>
                  </w:r>
                  <w:r>
                    <w:rPr>
                      <w:sz w:val="20"/>
                    </w:rPr>
                    <w:t>1</w:t>
                  </w:r>
                  <w:r>
                    <w:rPr>
                      <w:sz w:val="20"/>
                    </w:rPr>
                    <w:t>分。</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满意度调查由采购人组织完成。</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1</w:t>
                  </w:r>
                  <w:r>
                    <w:rPr>
                      <w:sz w:val="20"/>
                    </w:rPr>
                    <w:t>4</w:t>
                  </w:r>
                  <w:r>
                    <w:rPr>
                      <w:sz w:val="20"/>
                    </w:rPr>
                    <w:t>、</w:t>
                  </w:r>
                  <w:r>
                    <w:rPr>
                      <w:sz w:val="20"/>
                    </w:rPr>
                    <w:t>采购人</w:t>
                  </w:r>
                  <w:r>
                    <w:rPr>
                      <w:sz w:val="20"/>
                    </w:rPr>
                    <w:t>按</w:t>
                  </w:r>
                  <w:r>
                    <w:rPr>
                      <w:sz w:val="20"/>
                    </w:rPr>
                    <w:t>月</w:t>
                  </w:r>
                  <w:r>
                    <w:rPr>
                      <w:sz w:val="20"/>
                    </w:rPr>
                    <w:t>对服务人员进行考核，并将考核结果于</w:t>
                  </w:r>
                  <w:r>
                    <w:rPr>
                      <w:sz w:val="20"/>
                    </w:rPr>
                    <w:t>次月</w:t>
                  </w:r>
                  <w:r>
                    <w:rPr>
                      <w:sz w:val="20"/>
                    </w:rPr>
                    <w:t>10日前提交给采购人。</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未按时考核或未按时提交考核结果扣</w:t>
                  </w:r>
                  <w:r>
                    <w:rPr>
                      <w:sz w:val="20"/>
                    </w:rPr>
                    <w:t>5分/次。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中标人</w:t>
                  </w:r>
                  <w:r>
                    <w:rPr>
                      <w:sz w:val="20"/>
                    </w:rPr>
                    <w:t>根据岗位类别及需求制订科学可行的考核方案。</w:t>
                  </w:r>
                </w:p>
              </w:tc>
            </w:tr>
            <w:tr>
              <w:tc>
                <w:tcPr>
                  <w:tcW w:type="dxa" w:w="545"/>
                  <w:vMerge w:val="restart"/>
                  <w:tcBorders>
                    <w:top w:val="single" w:color="000000" w:sz="4"/>
                    <w:left w:val="doub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二、日常工作</w:t>
                  </w: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1.</w:t>
                  </w:r>
                  <w:r>
                    <w:rPr>
                      <w:sz w:val="20"/>
                    </w:rPr>
                    <w:t>服务人员</w:t>
                  </w:r>
                  <w:r>
                    <w:rPr>
                      <w:sz w:val="20"/>
                    </w:rPr>
                    <w:t>不熟悉各项业务流程。</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1分/人</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50元/人/次，采购人有权要求更换相关人员并追究有关责任，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2.</w:t>
                  </w:r>
                  <w:r>
                    <w:rPr>
                      <w:sz w:val="20"/>
                    </w:rPr>
                    <w:t>服务人员</w:t>
                  </w:r>
                  <w:r>
                    <w:rPr>
                      <w:sz w:val="20"/>
                    </w:rPr>
                    <w:t>不能按要求、按时完成本职工作。</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2</w:t>
                  </w:r>
                  <w:r>
                    <w:rPr>
                      <w:sz w:val="20"/>
                    </w:rPr>
                    <w:t>分</w:t>
                  </w:r>
                  <w:r>
                    <w:rPr>
                      <w:sz w:val="20"/>
                    </w:rPr>
                    <w:t>/人/次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1</w:t>
                  </w:r>
                  <w:r>
                    <w:rPr>
                      <w:sz w:val="20"/>
                    </w:rPr>
                    <w:t>00元/人/次，采购人有权要求更换相关人员并追究有关责任，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3.</w:t>
                  </w:r>
                  <w:r>
                    <w:rPr>
                      <w:sz w:val="20"/>
                    </w:rPr>
                    <w:t>中标人</w:t>
                  </w:r>
                  <w:r>
                    <w:rPr>
                      <w:sz w:val="20"/>
                    </w:rPr>
                    <w:t>出现</w:t>
                  </w:r>
                  <w:r>
                    <w:rPr>
                      <w:sz w:val="20"/>
                    </w:rPr>
                    <w:t>无故扣减或变相扣减岗位人员的工资、奖金及其他福利</w:t>
                  </w:r>
                  <w:r>
                    <w:rPr>
                      <w:sz w:val="20"/>
                    </w:rPr>
                    <w:t>等情况。</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15分</w:t>
                  </w:r>
                  <w:r>
                    <w:rPr>
                      <w:sz w:val="20"/>
                    </w:rPr>
                    <w:t>/次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5000元/</w:t>
                  </w:r>
                  <w:r>
                    <w:rPr>
                      <w:sz w:val="20"/>
                    </w:rPr>
                    <w:t>次</w:t>
                  </w:r>
                  <w:r>
                    <w:rPr>
                      <w:sz w:val="20"/>
                    </w:rPr>
                    <w:t>，</w:t>
                  </w:r>
                  <w:r>
                    <w:rPr>
                      <w:sz w:val="20"/>
                    </w:rPr>
                    <w:t>采购人有权</w:t>
                  </w:r>
                  <w:r>
                    <w:rPr>
                      <w:sz w:val="20"/>
                    </w:rPr>
                    <w:t>向中标人</w:t>
                  </w:r>
                  <w:r>
                    <w:rPr>
                      <w:sz w:val="20"/>
                    </w:rPr>
                    <w:t>追究有关责任，</w:t>
                  </w:r>
                  <w:r>
                    <w:rPr>
                      <w:sz w:val="20"/>
                    </w:rPr>
                    <w:t>中标人</w:t>
                  </w:r>
                  <w:r>
                    <w:rPr>
                      <w:sz w:val="20"/>
                    </w:rPr>
                    <w:t>须向服务人员补偿发放</w:t>
                  </w:r>
                  <w:r>
                    <w:rPr>
                      <w:sz w:val="20"/>
                    </w:rPr>
                    <w:t>无故扣减或变相扣减</w:t>
                  </w:r>
                  <w:r>
                    <w:rPr>
                      <w:sz w:val="20"/>
                    </w:rPr>
                    <w:t>的工资差额。</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3.经核实的患者投诉事件中责任人。</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sz w:val="20"/>
                    </w:rPr>
                    <w:t>扣</w:t>
                  </w:r>
                  <w:r>
                    <w:rPr>
                      <w:sz w:val="20"/>
                    </w:rPr>
                    <w:t>3分/人/次</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200元/人/次，采购人有权要求更换相关人员并追究有关责任，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4. 经核实的医疗事故或医疗差错。</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扣</w:t>
                  </w:r>
                  <w:r>
                    <w:rPr>
                      <w:sz w:val="20"/>
                    </w:rPr>
                    <w:t>10-15分/宗（根据事件性质、严重程度和当事人承担责任）。</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2000元-5000元/宗，采购人有权要求更换相关人员并追究有关责任，</w:t>
                  </w:r>
                  <w:r>
                    <w:rPr>
                      <w:sz w:val="20"/>
                    </w:rPr>
                    <w:t>中标人</w:t>
                  </w:r>
                  <w:r>
                    <w:rPr>
                      <w:sz w:val="20"/>
                    </w:rPr>
                    <w:t>应按采购人要求更换人员并承担相关责任。</w:t>
                  </w:r>
                </w:p>
              </w:tc>
            </w:tr>
            <w:tr>
              <w:tc>
                <w:tcPr>
                  <w:tcW w:type="dxa" w:w="545"/>
                  <w:vMerge/>
                  <w:tcBorders>
                    <w:top w:val="single" w:color="000000" w:sz="4"/>
                    <w:left w:val="double" w:color="000000" w:sz="4"/>
                    <w:bottom w:val="single" w:color="000000" w:sz="4"/>
                    <w:right w:val="single" w:color="000000" w:sz="4"/>
                  </w:tcBorders>
                </w:tcPr>
                <w:p/>
              </w:tc>
              <w:tc>
                <w:tcPr>
                  <w:tcW w:type="dxa" w:w="144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5.违反信息安全，泄露医院或患者相关信息。</w:t>
                  </w:r>
                </w:p>
              </w:tc>
              <w:tc>
                <w:tcPr>
                  <w:tcW w:type="dxa" w:w="129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sz w:val="20"/>
                    </w:rPr>
                    <w:t>扣</w:t>
                  </w:r>
                  <w:r>
                    <w:rPr>
                      <w:sz w:val="20"/>
                    </w:rPr>
                    <w:t>10-15分/宗（根据事件性质、严重程度和当事人承担责任）。</w:t>
                  </w:r>
                </w:p>
              </w:tc>
              <w:tc>
                <w:tcPr>
                  <w:tcW w:type="dxa" w:w="2305"/>
                  <w:tcBorders>
                    <w:top w:val="single" w:color="000000" w:sz="4"/>
                    <w:left w:val="single" w:color="000000" w:sz="4"/>
                    <w:bottom w:val="single" w:color="000000" w:sz="4"/>
                    <w:right w:val="double" w:color="000000" w:sz="4"/>
                  </w:tcBorders>
                  <w:tcMar>
                    <w:top w:type="dxa" w:w="0"/>
                    <w:left w:type="dxa" w:w="15"/>
                    <w:bottom w:type="dxa" w:w="0"/>
                    <w:right w:type="dxa" w:w="15"/>
                  </w:tcMar>
                  <w:vAlign w:val="top"/>
                </w:tcPr>
                <w:p>
                  <w:pPr>
                    <w:pStyle w:val="null3"/>
                    <w:jc w:val="both"/>
                  </w:pPr>
                  <w:r>
                    <w:rPr>
                      <w:sz w:val="20"/>
                    </w:rPr>
                    <w:t>扣罚</w:t>
                  </w:r>
                  <w:r>
                    <w:rPr>
                      <w:sz w:val="20"/>
                    </w:rPr>
                    <w:t>2000元-5000元/宗，采购人有权要求更换相关人员并追究有关责任，</w:t>
                  </w:r>
                  <w:r>
                    <w:rPr>
                      <w:sz w:val="20"/>
                    </w:rPr>
                    <w:t>中标人</w:t>
                  </w:r>
                  <w:r>
                    <w:rPr>
                      <w:sz w:val="20"/>
                    </w:rPr>
                    <w:t>应按采购人要求更换人员并承担相关责任。</w:t>
                  </w:r>
                </w:p>
              </w:tc>
            </w:tr>
            <w:tr>
              <w:tc>
                <w:tcPr>
                  <w:tcW w:type="dxa" w:w="5586"/>
                  <w:gridSpan w:val="4"/>
                  <w:tcBorders>
                    <w:top w:val="single" w:color="000000" w:sz="4"/>
                    <w:left w:val="double" w:color="000000" w:sz="4"/>
                    <w:bottom w:val="double" w:color="000000" w:sz="4"/>
                    <w:right w:val="double" w:color="000000" w:sz="4"/>
                  </w:tcBorders>
                  <w:tcMar>
                    <w:top w:type="dxa" w:w="0"/>
                    <w:left w:type="dxa" w:w="15"/>
                    <w:bottom w:type="dxa" w:w="0"/>
                    <w:right w:type="dxa" w:w="15"/>
                  </w:tcMar>
                  <w:vAlign w:val="top"/>
                </w:tcPr>
                <w:p>
                  <w:pPr>
                    <w:pStyle w:val="null3"/>
                    <w:jc w:val="both"/>
                  </w:pPr>
                  <w:r>
                    <w:rPr>
                      <w:sz w:val="20"/>
                    </w:rPr>
                    <w:t>被考核单位负责人确认：</w:t>
                  </w:r>
                  <w:r>
                    <w:rPr>
                      <w:sz w:val="20"/>
                    </w:rPr>
                    <w:t xml:space="preserve">                          </w:t>
                  </w:r>
                  <w:r>
                    <w:rPr>
                      <w:sz w:val="20"/>
                    </w:rPr>
                    <w:t>委托方考核</w:t>
                  </w:r>
                  <w:r>
                    <w:rPr>
                      <w:sz w:val="20"/>
                    </w:rPr>
                    <w:t>:</w:t>
                  </w:r>
                </w:p>
                <w:p>
                  <w:pPr>
                    <w:pStyle w:val="null3"/>
                    <w:jc w:val="both"/>
                  </w:pPr>
                  <w:r>
                    <w:rPr>
                      <w:sz w:val="20"/>
                    </w:rPr>
                    <w:t>签名及盖章：</w:t>
                  </w:r>
                  <w:r>
                    <w:rPr>
                      <w:sz w:val="21"/>
                      <w:u w:val="single"/>
                    </w:rPr>
                    <w:t xml:space="preserve">               </w:t>
                  </w:r>
                  <w:r>
                    <w:rPr>
                      <w:sz w:val="20"/>
                    </w:rPr>
                    <w:t xml:space="preserve">                           </w:t>
                  </w:r>
                  <w:r>
                    <w:rPr>
                      <w:sz w:val="20"/>
                    </w:rPr>
                    <w:t>签名及盖章：</w:t>
                  </w:r>
                  <w:r>
                    <w:rPr>
                      <w:sz w:val="21"/>
                      <w:u w:val="single"/>
                    </w:rPr>
                    <w:t xml:space="preserve">              </w:t>
                  </w:r>
                </w:p>
                <w:p>
                  <w:pPr>
                    <w:pStyle w:val="null3"/>
                    <w:jc w:val="both"/>
                  </w:pPr>
                  <w:r>
                    <w:rPr>
                      <w:sz w:val="21"/>
                    </w:rPr>
                    <w:t xml:space="preserve">  </w:t>
                  </w:r>
                  <w:r>
                    <w:rPr>
                      <w:sz w:val="21"/>
                      <w:u w:val="single"/>
                    </w:rPr>
                    <w:t xml:space="preserve">     </w:t>
                  </w:r>
                  <w:r>
                    <w:rPr>
                      <w:sz w:val="20"/>
                    </w:rPr>
                    <w:t>年</w:t>
                  </w:r>
                  <w:r>
                    <w:rPr>
                      <w:sz w:val="21"/>
                      <w:u w:val="single"/>
                    </w:rPr>
                    <w:t xml:space="preserve">    </w:t>
                  </w:r>
                  <w:r>
                    <w:rPr>
                      <w:sz w:val="20"/>
                    </w:rPr>
                    <w:t>月</w:t>
                  </w:r>
                  <w:r>
                    <w:rPr>
                      <w:sz w:val="21"/>
                      <w:u w:val="single"/>
                    </w:rPr>
                    <w:t xml:space="preserve">    </w:t>
                  </w:r>
                  <w:r>
                    <w:rPr>
                      <w:sz w:val="20"/>
                    </w:rPr>
                    <w:t>日</w:t>
                  </w:r>
                </w:p>
              </w:tc>
            </w:tr>
          </w:tbl>
          <w:p>
            <w:pPr>
              <w:pStyle w:val="null3"/>
            </w:pPr>
            <w:r>
              <w:rPr>
                <w:sz w:val="20"/>
              </w:rPr>
              <w:t>考核执行说明</w:t>
            </w:r>
            <w:r>
              <w:rPr>
                <w:sz w:val="20"/>
              </w:rPr>
              <w:t>:</w:t>
            </w:r>
          </w:p>
          <w:p>
            <w:pPr>
              <w:pStyle w:val="null3"/>
            </w:pPr>
            <w:r>
              <w:rPr>
                <w:sz w:val="20"/>
              </w:rPr>
              <w:t>1、服务质量每月考核一次，跟随发票作为每期服务费的付款依据，考核不达标的按以下标准扣罚;</w:t>
            </w:r>
          </w:p>
          <w:p>
            <w:pPr>
              <w:pStyle w:val="null3"/>
            </w:pPr>
            <w:r>
              <w:rPr>
                <w:sz w:val="20"/>
              </w:rPr>
              <w:t>2、</w:t>
            </w:r>
            <w:r>
              <w:rPr>
                <w:sz w:val="20"/>
              </w:rPr>
              <w:t>考核评分</w:t>
            </w:r>
            <w:r>
              <w:rPr>
                <w:sz w:val="20"/>
              </w:rPr>
              <w:t>100为满分，考核分为A、B、C、D四级，A≥95分，90分≤B&lt;95分，85分≤C&lt;90分，D&lt;85分</w:t>
            </w:r>
            <w:r>
              <w:rPr>
                <w:sz w:val="20"/>
              </w:rPr>
              <w:t>。</w:t>
            </w:r>
          </w:p>
          <w:p>
            <w:pPr>
              <w:pStyle w:val="null3"/>
            </w:pPr>
            <w:r>
              <w:rPr>
                <w:sz w:val="20"/>
              </w:rPr>
              <w:t>3、以每月的服务费为基数,扣罚比例如下：A级不扣罚；B级扣罚当月1%服务费：C级扣罚当月3%服务费；D级</w:t>
            </w:r>
            <w:r>
              <w:rPr>
                <w:sz w:val="20"/>
              </w:rPr>
              <w:t>为不合格需</w:t>
            </w:r>
            <w:r>
              <w:rPr>
                <w:sz w:val="20"/>
              </w:rPr>
              <w:t>扣罚当月</w:t>
            </w:r>
            <w:r>
              <w:rPr>
                <w:sz w:val="20"/>
              </w:rPr>
              <w:t>5%服务费。连续两次考核为D级的，除扣</w:t>
            </w:r>
            <w:r>
              <w:rPr>
                <w:sz w:val="20"/>
              </w:rPr>
              <w:t>罚服务费外，</w:t>
            </w:r>
            <w:r>
              <w:rPr>
                <w:sz w:val="20"/>
              </w:rPr>
              <w:t>乙方应按连续考核第二次</w:t>
            </w:r>
            <w:r>
              <w:rPr>
                <w:sz w:val="20"/>
              </w:rPr>
              <w:t>D级当月服务费金额的10%</w:t>
            </w:r>
            <w:r>
              <w:rPr>
                <w:sz w:val="20"/>
              </w:rPr>
              <w:t>向甲方支付违约金，且甲方有权单方面终止本合同。</w:t>
            </w:r>
          </w:p>
          <w:p>
            <w:pPr>
              <w:pStyle w:val="null3"/>
            </w:pPr>
            <w:r>
              <w:rPr>
                <w:sz w:val="20"/>
              </w:rPr>
              <w:t>4</w:t>
            </w:r>
            <w:r>
              <w:rPr>
                <w:sz w:val="20"/>
              </w:rPr>
              <w:t>、根据有关要求和规定，结合实际情况，采购人有权对此考核表指标内容、分值、考核办法作必要调整。</w:t>
            </w:r>
          </w:p>
          <w:p>
            <w:pPr>
              <w:pStyle w:val="null3"/>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采购机构代理服务收费标准：(1）本项目代理服务费：4.98万元。(2)代理服务费的货币为人民币； (3)代理服务费支付方式：一次性以银行划账、电汇、汇票或支票的形式支付；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5.财政部门根据《政府采购法》等相关法规、规章规定，对参加政府采购活动的投标人的不良行为予以记录，并纳入中山市社会征信和金融服务一体化系统，供银行机构融资授信时审慎性参考。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采购包1(辅助岗位服务外包项目)：综合评分法,是指投标文件满足招标文件全部实质性要求，且按照评审因素的量化指标评审得分最高的投标人为中标候选人的评标方法。（最低报价不是中标的唯一依据。）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采购包1（辅助岗位服务外包项目）：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采购包1（辅助岗位服务外包项目）：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1月至今任意一个月份财务报表）关键页或由基本开户银行出具的资信证明或政府采购专业担保机构出具的投标担保函或提供《政府采购供应商资格信用承诺函》（格式详见招标公告附件））。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参照投标函相关承诺格式内容或提供《政府采购供应商资格信用承诺函》（格式详见招标公告附件）。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无围标、串标行为</w:t>
            </w:r>
          </w:p>
        </w:tc>
        <w:tc>
          <w:tcPr>
            <w:tcW w:type="dxa" w:w="4238"/>
          </w:tcPr>
          <w:p>
            <w:pPr>
              <w:pStyle w:val="null3"/>
            </w:pPr>
            <w:r>
              <w:rPr/>
              <w:t>无围标、串标行为（出具《无围标、串标行为承诺书》）。</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租赁和商务服务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采购包1（辅助岗位服务外包项目）：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投标报价没有超出预算价或最高限价，且无重大漏项或重大不合理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采购包1(辅助岗位服务外包项目):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技术部分66.0分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(16.0分)</w:t>
            </w:r>
          </w:p>
        </w:tc>
        <w:tc>
          <w:tcPr>
            <w:tcW w:type="dxa" w:w="5076"/>
          </w:tcPr>
          <w:p>
            <w:pPr>
              <w:pStyle w:val="null3"/>
              <w:jc w:val="left"/>
            </w:pPr>
            <w:r>
              <w:rPr/>
              <w:t>根据投标人针对本项目采购需求制定的项目总体实施方案包括但不限于①项目背景、需求、重点难点分析，②培训工作实施方案，③项目组织机构及人员配备，④项目管理制度等的针对性和可行性进行评审： 1.投标人提供项目总体实施方案完整齐全，非常合理清晰、内容详尽有架构图、可操作性强，项目过程管控措施、项目评估方案非常合理，满足用户需求书要求，师资及服务人员安排情况、现场教学安排、项目管理有亮点、非常好、有特色的，得16分； 2.投标人提供项目总体实施方案合理清晰、内容有架构图、可操作性较强，项目过程管控措施、项目评估方案合理，师资及服务人员安排情况、现场教学安排、项目管理具体的，得12分； 3.投标人提供项目总体实施方案简单、内容仅有架构图、可操作性一般，项目过程管控措施、项目评估方案合理，项目管理简单，得8分； 4.投标人提供项目总体实施方案不完整，不清晰，针对性差，不合理，可行性差的，得4分； 5.未提供不得分。</w:t>
            </w:r>
          </w:p>
        </w:tc>
      </w:tr>
      <w:tr>
        <w:tc>
          <w:tcPr>
            <w:tcW w:type="dxa" w:w="922"/>
            <w:gridSpan w:val="2"/>
            <w:vMerge/>
          </w:tcPr>
          <w:p/>
        </w:tc>
        <w:tc>
          <w:tcPr>
            <w:tcW w:type="dxa" w:w="2307"/>
          </w:tcPr>
          <w:p>
            <w:pPr>
              <w:pStyle w:val="null3"/>
              <w:jc w:val="left"/>
            </w:pPr>
            <w:r>
              <w:rPr/>
              <w:t>企业管理情况 (5.0分)</w:t>
            </w:r>
          </w:p>
        </w:tc>
        <w:tc>
          <w:tcPr>
            <w:tcW w:type="dxa" w:w="5076"/>
          </w:tcPr>
          <w:p>
            <w:pPr>
              <w:pStyle w:val="null3"/>
              <w:jc w:val="left"/>
            </w:pPr>
            <w:r>
              <w:rPr/>
              <w:t>针对投标人提供的企业管理制度、人员管理制度、管理规划进行评审： （1）有完善的企业管理制度、人员管理制度，管理规划科学规范，得5分； （2）有较好的企业管理制度、人员管理制度，管理规划较科学规范，得3分； （3）企业管理制度、人员管理制度一般，管理规划一般，得1分； （4）未提供企业管理情况资料的，得0分。</w:t>
            </w:r>
          </w:p>
        </w:tc>
      </w:tr>
      <w:tr>
        <w:tc>
          <w:tcPr>
            <w:tcW w:type="dxa" w:w="922"/>
            <w:gridSpan w:val="2"/>
            <w:vMerge/>
          </w:tcPr>
          <w:p/>
        </w:tc>
        <w:tc>
          <w:tcPr>
            <w:tcW w:type="dxa" w:w="2307"/>
          </w:tcPr>
          <w:p>
            <w:pPr>
              <w:pStyle w:val="null3"/>
              <w:jc w:val="left"/>
            </w:pPr>
            <w:r>
              <w:rPr/>
              <w:t>人力资源保障措施（一） (8.0分)</w:t>
            </w:r>
          </w:p>
        </w:tc>
        <w:tc>
          <w:tcPr>
            <w:tcW w:type="dxa" w:w="5076"/>
          </w:tcPr>
          <w:p>
            <w:pPr>
              <w:pStyle w:val="null3"/>
              <w:jc w:val="left"/>
            </w:pPr>
            <w:r>
              <w:rPr/>
              <w:t>根据人员稳定保障措施、薪资福利水平等进行评审： （1）人员稳定保障措施得力、薪资福利水平具有市场竞争力，得8分； （2）人员稳定保障措施较好、薪资福利水平市场竞争力较好，得6分； （3）人员稳定保障措施一般、薪资福利水平一般，得3分； （4）人员稳定保障措施较差、薪资福利水平较差，得1分； （5）无描述得0分。</w:t>
            </w:r>
          </w:p>
        </w:tc>
      </w:tr>
      <w:tr>
        <w:tc>
          <w:tcPr>
            <w:tcW w:type="dxa" w:w="922"/>
            <w:gridSpan w:val="2"/>
            <w:vMerge/>
          </w:tcPr>
          <w:p/>
        </w:tc>
        <w:tc>
          <w:tcPr>
            <w:tcW w:type="dxa" w:w="2307"/>
          </w:tcPr>
          <w:p>
            <w:pPr>
              <w:pStyle w:val="null3"/>
              <w:jc w:val="left"/>
            </w:pPr>
            <w:r>
              <w:rPr/>
              <w:t>人力资源保障措施（二） (8.0分)</w:t>
            </w:r>
          </w:p>
        </w:tc>
        <w:tc>
          <w:tcPr>
            <w:tcW w:type="dxa" w:w="5076"/>
          </w:tcPr>
          <w:p>
            <w:pPr>
              <w:pStyle w:val="null3"/>
              <w:jc w:val="left"/>
            </w:pPr>
            <w:r>
              <w:rPr/>
              <w:t>根据拟投入的人员储备计划、人员补充计划、人员招聘制度进行评审： （1）人员储备计划优秀、人员补充的途径及招聘平台多样化，人员招聘制度科学，得8分； （2）人员储备计划较好、人员补充的途径及招聘平台较多，人员招聘制度较好，得6分； （3）人员储备计划一般，有相关的人员补充途径及招聘平台，人员招聘制度基本齐全，得3分； （4）人员储备计划差、人员补充途径少、人员招聘制度缺失或不完整，得1分； （5）无描述得0分。</w:t>
            </w:r>
          </w:p>
        </w:tc>
      </w:tr>
      <w:tr>
        <w:tc>
          <w:tcPr>
            <w:tcW w:type="dxa" w:w="922"/>
            <w:gridSpan w:val="2"/>
            <w:vMerge/>
          </w:tcPr>
          <w:p/>
        </w:tc>
        <w:tc>
          <w:tcPr>
            <w:tcW w:type="dxa" w:w="2307"/>
          </w:tcPr>
          <w:p>
            <w:pPr>
              <w:pStyle w:val="null3"/>
              <w:jc w:val="left"/>
            </w:pPr>
            <w:r>
              <w:rPr/>
              <w:t>人力资源职称、专业技术水平晋升方案 (6.0分)</w:t>
            </w:r>
          </w:p>
        </w:tc>
        <w:tc>
          <w:tcPr>
            <w:tcW w:type="dxa" w:w="5076"/>
          </w:tcPr>
          <w:p>
            <w:pPr>
              <w:pStyle w:val="null3"/>
              <w:jc w:val="left"/>
            </w:pPr>
            <w:r>
              <w:rPr/>
              <w:t>根据投标人提供的人力资源职称、专业技术水平晋升方案内容（包括但不限于晋升标准、晋升措施、晋升流程、晋升激励机制等）进行评审。 1.投标人提供的人力资源职称、专业技术水平晋升方案清晰详细，可行性高，得6分； 2.投标人提供的人力资源职称、专业技术水平晋升方案一般，内容不全面，可行性一般，得4分； 3.投标人提供的人力资源职称、专业技术水平晋升方案差，可行性低，得2分； 4.不提供方案的，不得分。</w:t>
            </w:r>
          </w:p>
        </w:tc>
      </w:tr>
      <w:tr>
        <w:tc>
          <w:tcPr>
            <w:tcW w:type="dxa" w:w="922"/>
            <w:gridSpan w:val="2"/>
            <w:vMerge/>
          </w:tcPr>
          <w:p/>
        </w:tc>
        <w:tc>
          <w:tcPr>
            <w:tcW w:type="dxa" w:w="2307"/>
          </w:tcPr>
          <w:p>
            <w:pPr>
              <w:pStyle w:val="null3"/>
              <w:jc w:val="left"/>
            </w:pPr>
            <w:r>
              <w:rPr/>
              <w:t>人员信息化管理系统 (3.0分)</w:t>
            </w:r>
          </w:p>
        </w:tc>
        <w:tc>
          <w:tcPr>
            <w:tcW w:type="dxa" w:w="5076"/>
          </w:tcPr>
          <w:p>
            <w:pPr>
              <w:pStyle w:val="null3"/>
              <w:jc w:val="left"/>
            </w:pPr>
            <w:r>
              <w:rPr/>
              <w:t>根据投标人是否具备信息化管理系统进行评审： 1.投标人具备人员信息化管理系统的，具有全面的人员管理、数据汇总等功能的，得3分； 2.投标人不具备人员信息化管理系统的，不得分； 注：投标人须提供以下证明材料：①如投标人自主研发的管理系统须提供计算机软件著作权登记证书复印件加盖公章，不提供不得分；②如投标人购买第三方管理系统的，须提供购买合同和发票复印件加盖公章。无完整提供有效证明材料的不得分；③投标人提供人员信息化管理系统的各功能模块截图，并加盖公章，不提供不得分。</w:t>
            </w:r>
          </w:p>
        </w:tc>
      </w:tr>
      <w:tr>
        <w:tc>
          <w:tcPr>
            <w:tcW w:type="dxa" w:w="922"/>
            <w:gridSpan w:val="2"/>
            <w:vMerge/>
          </w:tcPr>
          <w:p/>
        </w:tc>
        <w:tc>
          <w:tcPr>
            <w:tcW w:type="dxa" w:w="2307"/>
          </w:tcPr>
          <w:p>
            <w:pPr>
              <w:pStyle w:val="null3"/>
              <w:jc w:val="left"/>
            </w:pPr>
            <w:r>
              <w:rPr/>
              <w:t>应急方案 (5.0分)</w:t>
            </w:r>
          </w:p>
        </w:tc>
        <w:tc>
          <w:tcPr>
            <w:tcW w:type="dxa" w:w="5076"/>
          </w:tcPr>
          <w:p>
            <w:pPr>
              <w:pStyle w:val="null3"/>
              <w:jc w:val="left"/>
            </w:pPr>
            <w:r>
              <w:rPr/>
              <w:t>（1）投标人考虑应急情况周全，且对应的应急服务方案详细合理、针对性强，针对不同应急情况相比投入的应急人员充足，应急响应及时，得5分； （2）投标人考虑应急情况一般，且对应的应急服务方案较简单，针对不同应急情况相比投入的应急人员较少，应急响应较及时，得3分； （3）投标人考虑应急情况较差，且对应的应急服务方案较差，针对不同应急情况相比投入的应急人员少，完成各种应急任务时间长，或提供的内容不齐全的，得1分； （4）无提供得0分。</w:t>
            </w:r>
          </w:p>
        </w:tc>
      </w:tr>
      <w:tr>
        <w:tc>
          <w:tcPr>
            <w:tcW w:type="dxa" w:w="922"/>
            <w:gridSpan w:val="2"/>
            <w:vMerge/>
          </w:tcPr>
          <w:p/>
        </w:tc>
        <w:tc>
          <w:tcPr>
            <w:tcW w:type="dxa" w:w="2307"/>
          </w:tcPr>
          <w:p>
            <w:pPr>
              <w:pStyle w:val="null3"/>
              <w:jc w:val="left"/>
            </w:pPr>
            <w:r>
              <w:rPr/>
              <w:t>服务管理方案 (4.0分)</w:t>
            </w:r>
          </w:p>
        </w:tc>
        <w:tc>
          <w:tcPr>
            <w:tcW w:type="dxa" w:w="5076"/>
          </w:tcPr>
          <w:p>
            <w:pPr>
              <w:pStyle w:val="null3"/>
              <w:jc w:val="left"/>
            </w:pPr>
            <w:r>
              <w:rPr/>
              <w:t>根据投标人对本项目的熟悉程度、项目管理、服务质量进行评审： （1）对本项目内容熟悉，管理服务方案详细科学，服务质量周全，服务效率高，得4分； （2）对本项目内容较熟悉，管理服务方案较详细，服务质量较周全，服务效率较高，得3分； （3）对本项目内容较熟悉程度一般，管理服务方案一般，服务质量基本周全，服务效率一般，得2分； （4）对本项目内容熟悉程度较差，管理服务方案较差，服务质量和服务效率较差，得1分； （5）没提供得0分。</w:t>
            </w:r>
          </w:p>
        </w:tc>
      </w:tr>
      <w:tr>
        <w:tc>
          <w:tcPr>
            <w:tcW w:type="dxa" w:w="922"/>
            <w:gridSpan w:val="2"/>
            <w:vMerge/>
          </w:tcPr>
          <w:p/>
        </w:tc>
        <w:tc>
          <w:tcPr>
            <w:tcW w:type="dxa" w:w="2307"/>
          </w:tcPr>
          <w:p>
            <w:pPr>
              <w:pStyle w:val="null3"/>
              <w:jc w:val="left"/>
            </w:pPr>
            <w:r>
              <w:rPr/>
              <w:t>保密制度和保密措施 (5.0分)</w:t>
            </w:r>
          </w:p>
        </w:tc>
        <w:tc>
          <w:tcPr>
            <w:tcW w:type="dxa" w:w="5076"/>
          </w:tcPr>
          <w:p>
            <w:pPr>
              <w:pStyle w:val="null3"/>
              <w:jc w:val="left"/>
            </w:pPr>
            <w:r>
              <w:rPr/>
              <w:t>针对投标人保密制度和保密措施进行评审打分： （1）保密制度完善，保密服务工作标准化程度高，有详细的标准化流程，合理有序、逻辑性强且有一系列保密保障措施，内容详细有针对性，得5分； （2）保密制度较为完善，保密服务工作标准化程度较高，有一定的标准化流程，顺序较为清晰，有一定的操作性，满足项目的基本实施需要，保密保障措施描述基本清晰，得3分； （3）保密制度一般，内容较为普通缺乏针对性或有缺失，但该缺失不影响项目具体实施，保障措施内容较为简单，得1分； （4）保密制度缺失或不完整，得0.5分； （5）无描述得0分。</w:t>
            </w:r>
          </w:p>
        </w:tc>
      </w:tr>
      <w:tr>
        <w:tc>
          <w:tcPr>
            <w:tcW w:type="dxa" w:w="922"/>
            <w:gridSpan w:val="2"/>
            <w:vMerge/>
          </w:tcPr>
          <w:p/>
        </w:tc>
        <w:tc>
          <w:tcPr>
            <w:tcW w:type="dxa" w:w="2307"/>
          </w:tcPr>
          <w:p>
            <w:pPr>
              <w:pStyle w:val="null3"/>
              <w:jc w:val="left"/>
            </w:pPr>
            <w:r>
              <w:rPr/>
              <w:t>培训计划及考核方案 (6.0分)</w:t>
            </w:r>
          </w:p>
        </w:tc>
        <w:tc>
          <w:tcPr>
            <w:tcW w:type="dxa" w:w="5076"/>
          </w:tcPr>
          <w:p>
            <w:pPr>
              <w:pStyle w:val="null3"/>
              <w:jc w:val="left"/>
            </w:pPr>
            <w:r>
              <w:rPr/>
              <w:t>根据投标人对项目人员的培训计划、岗前培训、在岗培训和考核方式进行评审： （1）有科学可行的项目人员的岗前培训、在岗培训计划，培训资源丰富，考核方案详细、可行，得6分； （2）有较完善的项目人员的岗前培训、在岗培训计划，较丰富的培训资源，考核方案且基本可行，得4分； （3）有基本的项目人员的岗前培训、在岗培训计划，培训资源一般，考核方案一般，得2分； （4）项目人员岗前培训和在岗培训缺失或不完整，得1分； （5）没有提供，得0分。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 (3.0分)</w:t>
            </w:r>
          </w:p>
        </w:tc>
        <w:tc>
          <w:tcPr>
            <w:tcW w:type="dxa" w:w="5076"/>
          </w:tcPr>
          <w:p>
            <w:pPr>
              <w:pStyle w:val="null3"/>
              <w:jc w:val="left"/>
            </w:pPr>
            <w:r>
              <w:rPr/>
              <w:t>（1）投标人具有有效的“质量管理体系认证”，得1分； （2）投标人具有有效的“环境管理体系认证”，得1分； （3）投标人具有有效的“职业健康安全管理体系认证”，得1分。 注：提供相关证书复印件或证书在中国国家认证认可监督管理委员会查询平台（网址：http://www.cnca.gov.cn/）的相关查询记录加盖投标人公章，否则不得分。</w:t>
            </w:r>
          </w:p>
        </w:tc>
      </w:tr>
      <w:tr>
        <w:tc>
          <w:tcPr>
            <w:tcW w:type="dxa" w:w="922"/>
            <w:gridSpan w:val="2"/>
            <w:vMerge/>
          </w:tcPr>
          <w:p/>
        </w:tc>
        <w:tc>
          <w:tcPr>
            <w:tcW w:type="dxa" w:w="2307"/>
          </w:tcPr>
          <w:p>
            <w:pPr>
              <w:pStyle w:val="null3"/>
              <w:jc w:val="left"/>
            </w:pPr>
            <w:r>
              <w:rPr/>
              <w:t>投标人管理团队情况 (9.0分)</w:t>
            </w:r>
          </w:p>
        </w:tc>
        <w:tc>
          <w:tcPr>
            <w:tcW w:type="dxa" w:w="5076"/>
          </w:tcPr>
          <w:p>
            <w:pPr>
              <w:pStyle w:val="null3"/>
              <w:jc w:val="left"/>
            </w:pPr>
            <w:r>
              <w:rPr/>
              <w:t>拟投入本项目的投标人管理团队人员具有人力资源和社会保障部门颁发的人力资源类或管理类（或者经济类）高级或一级资质（资格）证书，每提供1人得3分；中级或二级资质（资格）证书，每提供1人得1.5分，满分9分。同一人获得多个证书按证书最高等级计算。 注： 投标文件中提供上述人员的证书复印件（加盖公章）和投标人为其购买的投标截止时间为止近1年内任意1个月的社保证明复印件（代缴个税税单或参加社会保险的《投保单》 或《社会保险参保人员证明》等证明均可，并加盖公章），如果投标人成立时间或该人员入职不足1个月，则提供人员入职证明，不提供不得分。</w:t>
            </w:r>
          </w:p>
        </w:tc>
      </w:tr>
      <w:tr>
        <w:tc>
          <w:tcPr>
            <w:tcW w:type="dxa" w:w="922"/>
            <w:gridSpan w:val="2"/>
            <w:vMerge/>
          </w:tcPr>
          <w:p/>
        </w:tc>
        <w:tc>
          <w:tcPr>
            <w:tcW w:type="dxa" w:w="2307"/>
          </w:tcPr>
          <w:p>
            <w:pPr>
              <w:pStyle w:val="null3"/>
              <w:jc w:val="left"/>
            </w:pPr>
            <w:r>
              <w:rPr/>
              <w:t>同类业绩 (6.0分)</w:t>
            </w:r>
          </w:p>
        </w:tc>
        <w:tc>
          <w:tcPr>
            <w:tcW w:type="dxa" w:w="5076"/>
          </w:tcPr>
          <w:p>
            <w:pPr>
              <w:pStyle w:val="null3"/>
              <w:jc w:val="left"/>
            </w:pPr>
            <w:r>
              <w:rPr/>
              <w:t>投标人2021年以来承接同类项目（含医务或医护岗位内容的业绩）业绩情况，每提供一个业绩的1分，满分6分。 注：以合同签订时间为准，投标文件中提供项目业绩的合同复印件并加盖公章，不提供的不得分。</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投标人提供上述“业绩”由业主对其的评价情况： 1、每得到一个评价（结果为“好评”或“优秀”或“满意”或相同含义的评价），每提供一份评价得1分。 2、每得到一个评价（结果为“合格”或“一般”或相同含义的评价），每提供一份评价得0.5分。 本项最高得6分。 注：投标文件中提供证明资料复印件（需加盖与上述业绩合同当事人名称一致的公章），不提供的不得分。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sz w:val="21"/>
          <w:b/>
        </w:rPr>
        <w:t>（本合同范本仅供参考，中标供应商与采购人可根据双方的具体要求、招标文件及投标文件的约定和承诺进行修订，双方所签订的合同不得对招标文件确定的事项和中标供应商投标文件作实质性修改。）</w:t>
      </w:r>
    </w:p>
    <w:p>
      <w:pPr>
        <w:pStyle w:val="null3"/>
        <w:jc w:val="center"/>
      </w:pPr>
      <w:r>
        <w:rPr>
          <w:b/>
        </w:rPr>
        <w:t xml:space="preserve"> </w:t>
      </w:r>
    </w:p>
    <w:p>
      <w:pPr>
        <w:pStyle w:val="null3"/>
        <w:jc w:val="left"/>
      </w:pPr>
      <w:r>
        <w:rPr/>
        <w:t xml:space="preserve"> </w:t>
      </w:r>
    </w:p>
    <w:p>
      <w:pPr>
        <w:pStyle w:val="null3"/>
        <w:jc w:val="center"/>
      </w:pPr>
      <w:r>
        <w:rPr>
          <w:sz w:val="20"/>
          <w:b/>
        </w:rPr>
        <w:t>_____服务项目合同</w:t>
      </w:r>
    </w:p>
    <w:p>
      <w:pPr>
        <w:pStyle w:val="null3"/>
        <w:jc w:val="center"/>
      </w:pPr>
      <w:r>
        <w:rPr>
          <w:sz w:val="20"/>
        </w:rPr>
        <w:t>甲方：中山市中医院</w:t>
      </w:r>
    </w:p>
    <w:p>
      <w:pPr>
        <w:pStyle w:val="null3"/>
        <w:jc w:val="both"/>
      </w:pPr>
      <w:r>
        <w:rPr>
          <w:sz w:val="20"/>
        </w:rPr>
        <w:t>乙方：</w:t>
      </w:r>
    </w:p>
    <w:p>
      <w:pPr>
        <w:pStyle w:val="null3"/>
        <w:ind w:firstLine="400"/>
        <w:jc w:val="both"/>
      </w:pPr>
      <w:r>
        <w:rPr>
          <w:sz w:val="20"/>
        </w:rPr>
        <w:t>根据《中华人民共和国民法典》《中华人民共和国政府采购法》等国家相关法律法规，以及中山市中医院</w:t>
      </w:r>
      <w:r>
        <w:rPr>
          <w:sz w:val="20"/>
        </w:rPr>
        <w:t xml:space="preserve">        </w:t>
      </w:r>
      <w:r>
        <w:rPr>
          <w:sz w:val="20"/>
        </w:rPr>
        <w:t>服务项目（招标项目编号：</w:t>
      </w:r>
      <w:r>
        <w:rPr>
          <w:sz w:val="20"/>
        </w:rPr>
        <w:t xml:space="preserve">         </w:t>
      </w:r>
      <w:r>
        <w:rPr>
          <w:sz w:val="20"/>
        </w:rPr>
        <w:t>）招标结果和招投标文件的要求，为明确权利义务，甲乙双方本着平等自愿、互惠互利的原则，就甲方委托乙方</w:t>
      </w:r>
      <w:r>
        <w:rPr>
          <w:sz w:val="20"/>
        </w:rPr>
        <w:t xml:space="preserve">        </w:t>
      </w:r>
      <w:r>
        <w:rPr>
          <w:sz w:val="20"/>
        </w:rPr>
        <w:t>服务事宜协商一致，签订本合同。</w:t>
      </w:r>
    </w:p>
    <w:p>
      <w:pPr>
        <w:pStyle w:val="null3"/>
        <w:jc w:val="both"/>
      </w:pPr>
      <w:r>
        <w:rPr>
          <w:sz w:val="20"/>
          <w:b/>
        </w:rPr>
        <w:t>1服务内容</w:t>
      </w:r>
    </w:p>
    <w:p>
      <w:pPr>
        <w:pStyle w:val="null3"/>
        <w:jc w:val="both"/>
      </w:pPr>
      <w:r>
        <w:rPr>
          <w:sz w:val="20"/>
          <w:b/>
        </w:rPr>
        <w:t>2合同金额</w:t>
      </w:r>
    </w:p>
    <w:p>
      <w:pPr>
        <w:pStyle w:val="null3"/>
        <w:jc w:val="both"/>
      </w:pPr>
      <w:r>
        <w:rPr>
          <w:sz w:val="20"/>
          <w:b/>
        </w:rPr>
        <w:t>3服务期限</w:t>
      </w:r>
    </w:p>
    <w:p>
      <w:pPr>
        <w:pStyle w:val="null3"/>
        <w:jc w:val="both"/>
      </w:pPr>
      <w:r>
        <w:rPr>
          <w:sz w:val="20"/>
          <w:b/>
        </w:rPr>
        <w:t>4质量标准和要求</w:t>
      </w:r>
    </w:p>
    <w:p>
      <w:pPr>
        <w:pStyle w:val="null3"/>
        <w:jc w:val="both"/>
      </w:pPr>
      <w:r>
        <w:rPr>
          <w:sz w:val="20"/>
          <w:b/>
        </w:rPr>
        <w:t>5服务要求</w:t>
      </w:r>
    </w:p>
    <w:p>
      <w:pPr>
        <w:pStyle w:val="null3"/>
        <w:jc w:val="both"/>
      </w:pPr>
      <w:r>
        <w:rPr>
          <w:sz w:val="20"/>
          <w:b/>
        </w:rPr>
        <w:t>6物流要求（配送要求）（按实际服务情况）</w:t>
      </w:r>
    </w:p>
    <w:p>
      <w:pPr>
        <w:pStyle w:val="null3"/>
        <w:jc w:val="both"/>
      </w:pPr>
      <w:r>
        <w:rPr>
          <w:sz w:val="20"/>
          <w:b/>
        </w:rPr>
        <w:t>7验收标准和方式(岗位安排、岗位职责）</w:t>
      </w:r>
    </w:p>
    <w:p>
      <w:pPr>
        <w:pStyle w:val="null3"/>
        <w:jc w:val="both"/>
      </w:pPr>
      <w:r>
        <w:rPr>
          <w:sz w:val="20"/>
          <w:b/>
        </w:rPr>
        <w:t>8履约保证金及结算方式</w:t>
      </w:r>
    </w:p>
    <w:p>
      <w:pPr>
        <w:pStyle w:val="null3"/>
        <w:jc w:val="both"/>
      </w:pPr>
      <w:r>
        <w:rPr>
          <w:sz w:val="20"/>
          <w:b/>
        </w:rPr>
        <w:t>9双方权利与义务</w:t>
      </w:r>
    </w:p>
    <w:p>
      <w:pPr>
        <w:pStyle w:val="null3"/>
        <w:ind w:firstLine="402"/>
        <w:jc w:val="both"/>
      </w:pPr>
      <w:r>
        <w:rPr>
          <w:sz w:val="20"/>
          <w:b/>
        </w:rPr>
        <w:t>9.1甲方权利与义务</w:t>
      </w:r>
    </w:p>
    <w:p>
      <w:pPr>
        <w:pStyle w:val="null3"/>
        <w:ind w:firstLine="402"/>
        <w:jc w:val="both"/>
      </w:pPr>
      <w:r>
        <w:rPr>
          <w:sz w:val="20"/>
          <w:b/>
        </w:rPr>
        <w:t>9.2乙方权利与义务</w:t>
      </w:r>
    </w:p>
    <w:p>
      <w:pPr>
        <w:pStyle w:val="null3"/>
        <w:jc w:val="both"/>
      </w:pPr>
      <w:r>
        <w:rPr>
          <w:sz w:val="20"/>
          <w:b/>
        </w:rPr>
        <w:t>10售后服务</w:t>
      </w:r>
    </w:p>
    <w:p>
      <w:pPr>
        <w:pStyle w:val="null3"/>
        <w:jc w:val="both"/>
      </w:pPr>
      <w:r>
        <w:rPr>
          <w:sz w:val="20"/>
          <w:b/>
        </w:rPr>
        <w:t>11保密条款</w:t>
      </w:r>
    </w:p>
    <w:p>
      <w:pPr>
        <w:pStyle w:val="null3"/>
        <w:jc w:val="both"/>
      </w:pPr>
      <w:r>
        <w:rPr>
          <w:sz w:val="20"/>
          <w:b/>
        </w:rPr>
        <w:t>12违约责任</w:t>
      </w:r>
      <w:r>
        <w:rPr>
          <w:sz w:val="20"/>
        </w:rPr>
        <w:t>(包括但不限于以下条款)</w:t>
      </w:r>
    </w:p>
    <w:p>
      <w:pPr>
        <w:pStyle w:val="null3"/>
        <w:ind w:firstLine="400"/>
        <w:jc w:val="both"/>
      </w:pPr>
      <w:r>
        <w:rPr>
          <w:sz w:val="20"/>
        </w:rPr>
        <w:t>12.1甲方应在合同规定时间内，向乙方支付货款，每拖延一天乙方可向甲方加的</w:t>
      </w:r>
      <w:r>
        <w:rPr>
          <w:sz w:val="20"/>
          <w:u w:val="single"/>
        </w:rPr>
        <w:t>0.3‰</w:t>
      </w:r>
      <w:r>
        <w:rPr>
          <w:sz w:val="20"/>
        </w:rPr>
        <w:t>的违约金，最高不超过拖欠金额的</w:t>
      </w:r>
      <w:r>
        <w:rPr>
          <w:sz w:val="20"/>
          <w:u w:val="single"/>
        </w:rPr>
        <w:t>10%</w:t>
      </w:r>
      <w:r>
        <w:rPr>
          <w:sz w:val="20"/>
        </w:rPr>
        <w:t>。</w:t>
      </w:r>
    </w:p>
    <w:p>
      <w:pPr>
        <w:pStyle w:val="null3"/>
        <w:ind w:firstLine="440"/>
        <w:jc w:val="both"/>
      </w:pPr>
      <w:r>
        <w:rPr>
          <w:sz w:val="20"/>
        </w:rPr>
        <w:t>12.2 服务期内，乙方有以下行为之一的，须向甲方支付履约保证金的10%作为违约金，且甲方有权单方面解除合同：</w:t>
      </w:r>
    </w:p>
    <w:p>
      <w:pPr>
        <w:pStyle w:val="null3"/>
        <w:ind w:firstLine="400"/>
        <w:jc w:val="both"/>
      </w:pPr>
      <w:r>
        <w:rPr>
          <w:sz w:val="20"/>
        </w:rPr>
        <w:t>12.2.1违反有关规定和医院规章制度，出现重大失误造成恶劣影响或甲方损失的。</w:t>
      </w:r>
    </w:p>
    <w:p>
      <w:pPr>
        <w:pStyle w:val="null3"/>
        <w:ind w:firstLine="400"/>
        <w:jc w:val="both"/>
      </w:pPr>
      <w:r>
        <w:rPr>
          <w:sz w:val="20"/>
        </w:rPr>
        <w:t>12.2.2</w:t>
      </w:r>
      <w:r>
        <w:rPr>
          <w:sz w:val="20"/>
        </w:rPr>
        <w:t>提供的</w:t>
      </w:r>
      <w:r>
        <w:rPr>
          <w:sz w:val="20"/>
        </w:rPr>
        <w:t>服务不符合招采文件、投标文件或本合同规定。</w:t>
      </w:r>
    </w:p>
    <w:p>
      <w:pPr>
        <w:pStyle w:val="null3"/>
        <w:ind w:firstLine="400"/>
        <w:jc w:val="both"/>
      </w:pPr>
      <w:r>
        <w:rPr>
          <w:sz w:val="20"/>
        </w:rPr>
        <w:t>12.2.3违反了诚实信用和投标承诺，没有严格执行相关质量、服务和收费标准，损害甲方利益的。</w:t>
      </w:r>
    </w:p>
    <w:p>
      <w:pPr>
        <w:pStyle w:val="null3"/>
        <w:ind w:firstLine="400"/>
        <w:jc w:val="both"/>
      </w:pPr>
      <w:r>
        <w:rPr>
          <w:sz w:val="20"/>
        </w:rPr>
        <w:t>12.2.4 提供虚假信息，误导或欺骗甲方，以谋取非法利益的。</w:t>
      </w:r>
    </w:p>
    <w:p>
      <w:pPr>
        <w:pStyle w:val="null3"/>
        <w:ind w:firstLine="400"/>
        <w:jc w:val="both"/>
      </w:pPr>
      <w:r>
        <w:rPr>
          <w:sz w:val="20"/>
        </w:rPr>
        <w:t>12.2.5 在服务实施过程中非法获取与项目有关的任何非法利益的。</w:t>
      </w:r>
    </w:p>
    <w:p>
      <w:pPr>
        <w:pStyle w:val="null3"/>
        <w:ind w:firstLine="400"/>
        <w:jc w:val="both"/>
      </w:pPr>
      <w:r>
        <w:rPr>
          <w:sz w:val="20"/>
        </w:rPr>
        <w:t>12.2.6 拒绝接受相关部门监督和检查的。</w:t>
      </w:r>
    </w:p>
    <w:p>
      <w:pPr>
        <w:pStyle w:val="null3"/>
        <w:jc w:val="both"/>
      </w:pPr>
      <w:r>
        <w:rPr>
          <w:sz w:val="20"/>
          <w:b/>
        </w:rPr>
        <w:t>13合同终止</w:t>
      </w:r>
    </w:p>
    <w:p>
      <w:pPr>
        <w:pStyle w:val="null3"/>
        <w:ind w:firstLine="400"/>
        <w:jc w:val="both"/>
      </w:pPr>
      <w:r>
        <w:rPr>
          <w:sz w:val="20"/>
        </w:rPr>
        <w:t>13.1乙方有下列情形之一的，甲方有权单方面终止合同,给甲方造成实际经济损失的，乙方还应赔偿给甲方造成的损失：</w:t>
      </w:r>
    </w:p>
    <w:p>
      <w:pPr>
        <w:pStyle w:val="null3"/>
        <w:ind w:firstLine="400"/>
        <w:jc w:val="both"/>
      </w:pPr>
      <w:r>
        <w:rPr>
          <w:sz w:val="20"/>
        </w:rPr>
        <w:t>13.1.1未经甲方书面同意，将合同的部分和全部转让或分包给第三方。</w:t>
      </w:r>
    </w:p>
    <w:p>
      <w:pPr>
        <w:pStyle w:val="null3"/>
        <w:ind w:firstLine="400"/>
        <w:jc w:val="both"/>
      </w:pPr>
      <w:r>
        <w:rPr>
          <w:sz w:val="20"/>
        </w:rPr>
        <w:t>13.1.2合同履行过程中出现侵犯他人合法权益的事项，包括但不限于知识产权、人身财产权益等。</w:t>
      </w:r>
    </w:p>
    <w:p>
      <w:pPr>
        <w:pStyle w:val="null3"/>
        <w:ind w:firstLine="400"/>
        <w:jc w:val="both"/>
      </w:pPr>
      <w:r>
        <w:rPr>
          <w:sz w:val="20"/>
        </w:rPr>
        <w:t>13.1.3未履行本合同约定的其他义务的, 经甲方催告后30个自然日内仍未整改的。</w:t>
      </w:r>
    </w:p>
    <w:p>
      <w:pPr>
        <w:pStyle w:val="null3"/>
        <w:ind w:firstLine="400"/>
        <w:jc w:val="both"/>
      </w:pPr>
      <w:r>
        <w:rPr>
          <w:sz w:val="20"/>
        </w:rPr>
        <w:t>13.1.4服务期内月度考核分数低于85分次数累计达3次的。</w:t>
      </w:r>
    </w:p>
    <w:p>
      <w:pPr>
        <w:pStyle w:val="null3"/>
        <w:ind w:firstLine="400"/>
        <w:jc w:val="both"/>
      </w:pPr>
      <w:r>
        <w:rPr>
          <w:sz w:val="20"/>
        </w:rPr>
        <w:t>13.1.5按照有关规定或者上级命令需要立即停止经营的。</w:t>
      </w:r>
    </w:p>
    <w:p>
      <w:pPr>
        <w:pStyle w:val="null3"/>
        <w:ind w:firstLine="400"/>
        <w:jc w:val="both"/>
      </w:pPr>
      <w:r>
        <w:rPr>
          <w:sz w:val="20"/>
        </w:rPr>
        <w:t>13.1.6违反本协议约定进行经营，或放弃经营、停止营业的(除非有符合本合同规定的理由)、濒临破产或进行清算程序(经甲方同意，因重组或合并原因进行清算者例外)。</w:t>
      </w:r>
    </w:p>
    <w:p>
      <w:pPr>
        <w:pStyle w:val="null3"/>
        <w:ind w:firstLine="400"/>
        <w:jc w:val="both"/>
      </w:pPr>
      <w:r>
        <w:rPr>
          <w:sz w:val="20"/>
        </w:rPr>
        <w:t>13.1.7发生重大责任事故(是否构成重大程度，由甲方认定)，事故原因与乙方有关的。</w:t>
      </w:r>
    </w:p>
    <w:p>
      <w:pPr>
        <w:pStyle w:val="null3"/>
        <w:ind w:firstLine="408"/>
        <w:jc w:val="both"/>
      </w:pPr>
      <w:r>
        <w:rPr>
          <w:sz w:val="20"/>
        </w:rPr>
        <w:t>13.2服务期内，甲乙双方无正当理由不能提前终止合同，若一方要提前终止，须提前三个月书面向另一方提出，经双方允许、充分协商达成一致方可终止。否则，违约方应赔偿守约方所有实际损失。</w:t>
      </w:r>
    </w:p>
    <w:p>
      <w:pPr>
        <w:pStyle w:val="null3"/>
        <w:jc w:val="both"/>
      </w:pPr>
      <w:r>
        <w:rPr>
          <w:sz w:val="20"/>
          <w:b/>
        </w:rPr>
        <w:t>14不可抗力</w:t>
      </w:r>
    </w:p>
    <w:p>
      <w:pPr>
        <w:pStyle w:val="null3"/>
        <w:ind w:firstLine="354"/>
        <w:jc w:val="both"/>
      </w:pPr>
      <w:r>
        <w:rPr>
          <w:sz w:val="20"/>
        </w:rPr>
        <w:t>14.1不可抗力指战争、严重火灾、洪水、台风、地震等或其它双方认定的不可抗力事件。</w:t>
      </w:r>
    </w:p>
    <w:p>
      <w:pPr>
        <w:pStyle w:val="null3"/>
        <w:ind w:firstLine="354"/>
        <w:jc w:val="both"/>
      </w:pPr>
      <w:r>
        <w:rPr>
          <w:sz w:val="20"/>
        </w:rPr>
        <w:t>14.2签约双方中任何一方由于不可抗力影响合同执行时，发生不可抗力一方应尽快将事故通知另一方。在此情况下，乙方仍然有责任采取必要的措施加速供货，双方应通过友好协商尽快解决本合同的执行问题。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0"/>
          <w:b/>
        </w:rPr>
        <w:t>15争议解决的方法</w:t>
      </w:r>
    </w:p>
    <w:p>
      <w:pPr>
        <w:pStyle w:val="null3"/>
        <w:ind w:firstLine="400"/>
        <w:jc w:val="both"/>
      </w:pPr>
      <w:r>
        <w:rPr>
          <w:sz w:val="20"/>
        </w:rPr>
        <w:t>签约双方在履约中发生争执和分歧，双方应通过友好协商解决，若经协商不能达成协议时，则依法向甲方所在地人民法院提起诉讼。受理期间，双方应继续执行合同其余无争议部分。</w:t>
      </w:r>
    </w:p>
    <w:p>
      <w:pPr>
        <w:pStyle w:val="null3"/>
        <w:jc w:val="both"/>
      </w:pPr>
      <w:r>
        <w:rPr>
          <w:sz w:val="20"/>
          <w:b/>
        </w:rPr>
        <w:t>16合同组成部分</w:t>
      </w:r>
    </w:p>
    <w:p>
      <w:pPr>
        <w:pStyle w:val="null3"/>
        <w:ind w:firstLine="354"/>
        <w:jc w:val="both"/>
      </w:pPr>
      <w:r>
        <w:rPr>
          <w:sz w:val="20"/>
        </w:rPr>
        <w:t>16.1合同附件、招采文件、投标文件、中标通知书等均为合同的不可分割的组成部分，与合同具有同等法律效力。</w:t>
      </w:r>
    </w:p>
    <w:p>
      <w:pPr>
        <w:pStyle w:val="null3"/>
        <w:ind w:firstLine="354"/>
        <w:jc w:val="both"/>
      </w:pPr>
      <w:r>
        <w:rPr>
          <w:sz w:val="20"/>
        </w:rPr>
        <w:t>16.2在执行本合同的过程中，经双方签署的文件（包括会议纪要、补充协议等）即成为本合同的有效组成部分，其生效日期为双方签字盖章或确认之日期。</w:t>
      </w:r>
    </w:p>
    <w:p>
      <w:pPr>
        <w:pStyle w:val="null3"/>
        <w:jc w:val="both"/>
      </w:pPr>
      <w:r>
        <w:rPr>
          <w:sz w:val="20"/>
          <w:b/>
        </w:rPr>
        <w:t>17其他</w:t>
      </w:r>
    </w:p>
    <w:p>
      <w:pPr>
        <w:pStyle w:val="null3"/>
        <w:ind w:firstLine="354"/>
        <w:jc w:val="both"/>
      </w:pPr>
      <w:r>
        <w:rPr>
          <w:sz w:val="20"/>
        </w:rPr>
        <w:t>17.1本合同未尽事宜，由双方协商解决，并另订补充协议，与本合同具有同等法律效力。</w:t>
      </w:r>
    </w:p>
    <w:p>
      <w:pPr>
        <w:pStyle w:val="null3"/>
        <w:ind w:firstLine="354"/>
        <w:jc w:val="both"/>
      </w:pPr>
      <w:r>
        <w:rPr>
          <w:sz w:val="20"/>
        </w:rPr>
        <w:t>17.2本合同壹式伍份，具有同等法律效力，甲方执贰份、乙方执贰份、招标代理机构壹份。本合同经双方签字、盖章后生效。</w:t>
      </w:r>
    </w:p>
    <w:p>
      <w:pPr>
        <w:pStyle w:val="null3"/>
        <w:jc w:val="both"/>
      </w:pPr>
      <w:r>
        <w:rPr>
          <w:sz w:val="20"/>
        </w:rPr>
        <w:t xml:space="preserve">                  </w:t>
      </w:r>
      <w:r>
        <w:rPr>
          <w:sz w:val="20"/>
        </w:rPr>
        <w:t>（以下为签字页，无正文）</w:t>
      </w:r>
    </w:p>
    <w:p>
      <w:pPr>
        <w:pStyle w:val="null3"/>
        <w:jc w:val="both"/>
      </w:pPr>
      <w:r>
        <w:rPr>
          <w:sz w:val="20"/>
        </w:rPr>
        <w:t>甲方</w:t>
      </w:r>
      <w:r>
        <w:rPr>
          <w:sz w:val="20"/>
        </w:rPr>
        <w:t>(盖章)：中山市中医院         乙方(盖章)：</w:t>
      </w:r>
    </w:p>
    <w:p>
      <w:pPr>
        <w:pStyle w:val="null3"/>
        <w:jc w:val="both"/>
      </w:pPr>
      <w:r>
        <w:rPr>
          <w:sz w:val="21"/>
        </w:rPr>
        <w:t xml:space="preserve">                                </w:t>
      </w:r>
    </w:p>
    <w:p>
      <w:pPr>
        <w:pStyle w:val="null3"/>
        <w:jc w:val="both"/>
      </w:pPr>
      <w:r>
        <w:rPr>
          <w:sz w:val="20"/>
        </w:rPr>
        <w:t>法定代表人：</w:t>
      </w:r>
      <w:r>
        <w:rPr>
          <w:sz w:val="20"/>
        </w:rPr>
        <w:t xml:space="preserve">                            </w:t>
      </w:r>
      <w:r>
        <w:rPr>
          <w:sz w:val="20"/>
        </w:rPr>
        <w:t>法定代表人：</w:t>
      </w:r>
    </w:p>
    <w:p>
      <w:pPr>
        <w:pStyle w:val="null3"/>
        <w:jc w:val="both"/>
      </w:pPr>
      <w:r>
        <w:rPr>
          <w:sz w:val="20"/>
        </w:rPr>
        <w:t>签约日期：</w:t>
      </w:r>
      <w:r>
        <w:rPr>
          <w:sz w:val="20"/>
        </w:rPr>
        <w:t>202</w:t>
      </w:r>
      <w:r>
        <w:rPr>
          <w:sz w:val="20"/>
        </w:rPr>
        <w:t>5</w:t>
      </w:r>
      <w:r>
        <w:rPr>
          <w:sz w:val="20"/>
        </w:rPr>
        <w:t>年</w:t>
      </w:r>
      <w:r>
        <w:rPr>
          <w:sz w:val="20"/>
        </w:rPr>
        <w:t>月</w:t>
      </w:r>
      <w:r>
        <w:rPr>
          <w:sz w:val="21"/>
        </w:rPr>
        <w:t xml:space="preserve"> </w:t>
      </w:r>
      <w:r>
        <w:rPr>
          <w:sz w:val="20"/>
        </w:rPr>
        <w:t>日</w:t>
      </w:r>
      <w:r>
        <w:rPr>
          <w:sz w:val="20"/>
        </w:rPr>
        <w:t xml:space="preserve">          </w:t>
      </w:r>
      <w:r>
        <w:rPr>
          <w:sz w:val="20"/>
        </w:rPr>
        <w:t>签约日期：</w:t>
      </w:r>
      <w:r>
        <w:rPr>
          <w:sz w:val="20"/>
        </w:rPr>
        <w:t>2025</w:t>
      </w:r>
      <w:r>
        <w:rPr>
          <w:sz w:val="20"/>
        </w:rPr>
        <w:t>年</w:t>
      </w:r>
      <w:r>
        <w:rPr>
          <w:sz w:val="20"/>
        </w:rPr>
        <w:t>月</w:t>
      </w:r>
      <w:r>
        <w:rPr>
          <w:sz w:val="20"/>
        </w:rPr>
        <w:t xml:space="preserve">  </w:t>
      </w:r>
      <w:r>
        <w:rPr>
          <w:sz w:val="20"/>
        </w:rPr>
        <w:t>日</w:t>
      </w:r>
    </w:p>
    <w:p>
      <w:pPr>
        <w:pStyle w:val="null3"/>
        <w:jc w:val="both"/>
      </w:pPr>
      <w:r>
        <w:rPr/>
        <w:t xml:space="preserve"> </w:t>
      </w:r>
    </w:p>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442000-2025-00259</w:t>
      </w:r>
    </w:p>
    <w:p>
      <w:pPr>
        <w:pStyle w:val="null3"/>
        <w:jc w:val="center"/>
        <w:outlineLvl w:val="3"/>
      </w:pPr>
      <w:r>
        <w:rPr>
          <w:sz w:val="24"/>
          <w:b/>
        </w:rPr>
        <w:t>采购项目编号：</w:t>
      </w:r>
      <w:r>
        <w:rPr>
          <w:sz w:val="24"/>
          <w:b/>
        </w:rPr>
        <w:t>ZZ22414438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中山市中医院2025-2028年辅助岗位服务外包项目</w:t>
      </w:r>
      <w:r>
        <w:rPr>
          <w:u w:val="single"/>
        </w:rPr>
        <w:t>”</w:t>
      </w:r>
      <w:r>
        <w:rPr/>
        <w:t>项目的招标[采购项目编号为：</w:t>
      </w:r>
      <w:r>
        <w:rPr>
          <w:u w:val="single"/>
        </w:rPr>
        <w:t>ZZ22414438</w:t>
      </w:r>
      <w:r>
        <w:rPr/>
        <w:t>]，我方愿参与投标。</w:t>
      </w:r>
    </w:p>
    <w:p>
      <w:pPr>
        <w:pStyle w:val="null3"/>
        <w:ind w:firstLine="480"/>
      </w:pPr>
      <w:r>
        <w:rPr/>
        <w:t>我方确认收到贵方提供的</w:t>
      </w:r>
      <w:r>
        <w:rPr>
          <w:u w:val="single"/>
        </w:rPr>
        <w:t>“</w:t>
      </w:r>
      <w:r>
        <w:rPr>
          <w:u w:val="single"/>
        </w:rPr>
        <w:t>中山市中医院2025-2028年辅助岗位服务外包项目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中山市中医院2025-2028年辅助岗位服务外包项目</w:t>
      </w:r>
      <w:r>
        <w:rPr/>
        <w:t>”项目采购[采购项目编号为</w:t>
      </w:r>
      <w:r>
        <w:rPr/>
        <w:t>ZZ22414438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中山市中医院2025-2028年辅助岗位服务外包项目</w:t>
      </w:r>
      <w:r>
        <w:rPr/>
        <w:t>招标中获中标（采购项目编号：</w:t>
      </w:r>
      <w:r>
        <w:rPr/>
        <w:t>ZZ22414438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中山市中医院2025-2028年辅助岗位服务外包项目</w:t>
      </w:r>
      <w:r>
        <w:rPr/>
        <w:t>”项目（采购项目编号：</w:t>
      </w:r>
      <w:r>
        <w:rPr/>
        <w:t>ZZ22414438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